
<file path=[Content_Types].xml><?xml version="1.0" encoding="utf-8"?>
<Types xmlns="http://schemas.openxmlformats.org/package/2006/content-types">
  <Default Extension="xml" ContentType="application/xml"/>
  <Default Extension="jpeg" ContentType="image/jpeg"/>
  <Default Extension="JPG" ContentType="image/.jpg"/>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themeColor="background1"/>
  <w:body>
    <w:p w14:paraId="72F6468C">
      <w:pPr>
        <w:rPr>
          <w:rFonts w:cs="Calibri"/>
          <w:szCs w:val="22"/>
        </w:rPr>
      </w:pPr>
      <w:bookmarkStart w:id="50" w:name="_GoBack"/>
      <w:bookmarkEnd w:id="50"/>
      <w:r>
        <w:drawing>
          <wp:anchor distT="0" distB="0" distL="114300" distR="114300" simplePos="0" relativeHeight="251659264" behindDoc="1" locked="0" layoutInCell="1" allowOverlap="1">
            <wp:simplePos x="0" y="0"/>
            <wp:positionH relativeFrom="margin">
              <wp:align>center</wp:align>
            </wp:positionH>
            <wp:positionV relativeFrom="paragraph">
              <wp:posOffset>-1032510</wp:posOffset>
            </wp:positionV>
            <wp:extent cx="7724140" cy="5444490"/>
            <wp:effectExtent l="0" t="0" r="0" b="4445"/>
            <wp:wrapNone/>
            <wp:docPr id="126637948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6379481" name="Picture 4"/>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a:xfrm>
                      <a:off x="0" y="0"/>
                      <a:ext cx="7723990" cy="5444414"/>
                    </a:xfrm>
                    <a:prstGeom prst="rect">
                      <a:avLst/>
                    </a:prstGeom>
                    <a:noFill/>
                    <a:ln>
                      <a:noFill/>
                    </a:ln>
                  </pic:spPr>
                </pic:pic>
              </a:graphicData>
            </a:graphic>
          </wp:anchor>
        </w:drawing>
      </w:r>
    </w:p>
    <w:p w14:paraId="4F4D1830">
      <w:pPr>
        <w:rPr>
          <w:rFonts w:cs="Calibri"/>
          <w:szCs w:val="22"/>
        </w:rPr>
      </w:pPr>
    </w:p>
    <w:p w14:paraId="717939E2">
      <w:pPr>
        <w:rPr>
          <w:rFonts w:cs="Calibri"/>
          <w:szCs w:val="22"/>
        </w:rPr>
      </w:pPr>
      <w:r>
        <w:rPr>
          <w:rFonts w:cs="Calibri"/>
          <w:b/>
          <w:bCs/>
          <w:color w:val="5300FF" w:themeColor="accent3"/>
          <w:sz w:val="48"/>
          <w:szCs w:val="48"/>
          <w14:textFill>
            <w14:solidFill>
              <w14:schemeClr w14:val="accent3"/>
            </w14:solidFill>
          </w14:textFill>
        </w:rPr>
        <mc:AlternateContent>
          <mc:Choice Requires="wps">
            <w:drawing>
              <wp:anchor distT="0" distB="0" distL="114300" distR="114300" simplePos="0" relativeHeight="251659264" behindDoc="0" locked="0" layoutInCell="1" allowOverlap="1">
                <wp:simplePos x="0" y="0"/>
                <wp:positionH relativeFrom="page">
                  <wp:align>left</wp:align>
                </wp:positionH>
                <wp:positionV relativeFrom="paragraph">
                  <wp:posOffset>3688080</wp:posOffset>
                </wp:positionV>
                <wp:extent cx="7599680" cy="5901055"/>
                <wp:effectExtent l="0" t="0" r="1270" b="4445"/>
                <wp:wrapNone/>
                <wp:docPr id="1685452307" name="Rectangle 4"/>
                <wp:cNvGraphicFramePr/>
                <a:graphic xmlns:a="http://schemas.openxmlformats.org/drawingml/2006/main">
                  <a:graphicData uri="http://schemas.microsoft.com/office/word/2010/wordprocessingShape">
                    <wps:wsp>
                      <wps:cNvSpPr/>
                      <wps:spPr>
                        <a:xfrm>
                          <a:off x="0" y="0"/>
                          <a:ext cx="7599680" cy="5901055"/>
                        </a:xfrm>
                        <a:prstGeom prst="rect">
                          <a:avLst/>
                        </a:prstGeom>
                        <a:solidFill>
                          <a:schemeClr val="accent6"/>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5D8DA519">
                            <w:pPr>
                              <w:jc w:val="center"/>
                            </w:pPr>
                          </w:p>
                          <w:p w14:paraId="7C07B5FE">
                            <w:pPr>
                              <w:jc w:val="center"/>
                              <w:rPr>
                                <w:rFonts w:ascii="Mona Sans" w:hAnsi="Mona Sans" w:cs="Calibri"/>
                                <w:b/>
                                <w:bCs/>
                                <w:color w:val="FFFFFF" w:themeColor="background1"/>
                                <w:sz w:val="56"/>
                                <w:szCs w:val="56"/>
                                <w14:textFill>
                                  <w14:solidFill>
                                    <w14:schemeClr w14:val="bg1"/>
                                  </w14:solidFill>
                                </w14:textFill>
                              </w:rPr>
                            </w:pPr>
                            <w:r>
                              <w:rPr>
                                <w:rFonts w:ascii="Mona Sans" w:hAnsi="Mona Sans" w:cs="Calibri"/>
                                <w:b/>
                                <w:bCs/>
                                <w:color w:val="FFFFFF" w:themeColor="background1"/>
                                <w:sz w:val="56"/>
                                <w:szCs w:val="56"/>
                                <w14:textFill>
                                  <w14:solidFill>
                                    <w14:schemeClr w14:val="bg1"/>
                                  </w14:solidFill>
                                </w14:textFill>
                              </w:rPr>
                              <w:t>TERMS OF REFERENCE</w:t>
                            </w:r>
                          </w:p>
                          <w:p w14:paraId="5EC3746D">
                            <w:pPr>
                              <w:ind w:left="1440" w:right="1664"/>
                              <w:jc w:val="center"/>
                              <w:rPr>
                                <w:rFonts w:ascii="Mona Sans" w:hAnsi="Mona Sans" w:cs="Calibri"/>
                                <w:b/>
                                <w:bCs/>
                                <w:color w:val="FFFFFF" w:themeColor="background1"/>
                                <w:sz w:val="40"/>
                                <w:szCs w:val="40"/>
                                <w14:textFill>
                                  <w14:solidFill>
                                    <w14:schemeClr w14:val="bg1"/>
                                  </w14:solidFill>
                                </w14:textFill>
                              </w:rPr>
                            </w:pPr>
                            <w:r>
                              <w:rPr>
                                <w:rFonts w:ascii="Mona Sans" w:hAnsi="Mona Sans" w:cs="Calibri"/>
                                <w:b/>
                                <w:bCs/>
                                <w:color w:val="FFFFFF" w:themeColor="background1"/>
                                <w:sz w:val="40"/>
                                <w:szCs w:val="40"/>
                                <w14:textFill>
                                  <w14:solidFill>
                                    <w14:schemeClr w14:val="bg1"/>
                                  </w14:solidFill>
                                </w14:textFill>
                              </w:rPr>
                              <w:t>Consultant for the final external evaluation of the project: “Roma women activism against child marriages in Serbia” implemented by Roma Women Center “Bibija”</w:t>
                            </w:r>
                          </w:p>
                          <w:p w14:paraId="4EDDD226">
                            <w:pPr>
                              <w:jc w:val="center"/>
                              <w:rPr>
                                <w:rFonts w:ascii="Mona Sans" w:hAnsi="Mona Sans" w:cs="Calibri"/>
                                <w:szCs w:val="22"/>
                              </w:rPr>
                            </w:pPr>
                          </w:p>
                          <w:p w14:paraId="5C60B1AC">
                            <w:pPr>
                              <w:jc w:val="center"/>
                              <w:rPr>
                                <w:rFonts w:ascii="Mona Sans" w:hAnsi="Mona Sans" w:cs="Calibri"/>
                                <w:szCs w:val="22"/>
                              </w:rPr>
                            </w:pPr>
                          </w:p>
                          <w:p w14:paraId="1224D0AF">
                            <w:pPr>
                              <w:jc w:val="center"/>
                              <w:rPr>
                                <w:rFonts w:cs="Calibri"/>
                                <w:b/>
                                <w:bCs/>
                                <w:color w:val="5300FF" w:themeColor="accent3"/>
                                <w:sz w:val="48"/>
                                <w:szCs w:val="48"/>
                                <w14:textFill>
                                  <w14:solidFill>
                                    <w14:schemeClr w14:val="accent3"/>
                                  </w14:solidFill>
                                </w14:textFill>
                              </w:rPr>
                            </w:pPr>
                          </w:p>
                          <w:p w14:paraId="1FE3105A">
                            <w:pPr>
                              <w:jc w:val="center"/>
                            </w:pPr>
                          </w:p>
                          <w:p w14:paraId="210F1AB7">
                            <w:pPr>
                              <w:jc w:val="center"/>
                              <w:rPr>
                                <w:rFonts w:cs="Calibri"/>
                                <w:b/>
                                <w:bCs/>
                                <w:color w:val="5300FF" w:themeColor="accent3"/>
                                <w:sz w:val="48"/>
                                <w:szCs w:val="48"/>
                                <w14:textFill>
                                  <w14:solidFill>
                                    <w14:schemeClr w14:val="accent3"/>
                                  </w14:solidFill>
                                </w14:textFill>
                              </w:rPr>
                            </w:pPr>
                            <w:r>
                              <w:drawing>
                                <wp:inline distT="0" distB="0" distL="0" distR="0">
                                  <wp:extent cx="2360930" cy="755015"/>
                                  <wp:effectExtent l="0" t="0" r="0" b="6985"/>
                                  <wp:docPr id="715680366" name="Picture 12"/>
                                  <wp:cNvGraphicFramePr/>
                                  <a:graphic xmlns:a="http://schemas.openxmlformats.org/drawingml/2006/main">
                                    <a:graphicData uri="http://schemas.openxmlformats.org/drawingml/2006/picture">
                                      <pic:pic xmlns:pic="http://schemas.openxmlformats.org/drawingml/2006/picture">
                                        <pic:nvPicPr>
                                          <pic:cNvPr id="715680366" name="Picture 12"/>
                                          <pic:cNvPicPr/>
                                        </pic:nvPicPr>
                                        <pic:blipFill>
                                          <a:blip r:embed="rId8" cstate="print">
                                            <a:extLst>
                                              <a:ext uri="{28A0092B-C50C-407E-A947-70E740481C1C}">
                                                <a14:useLocalDpi xmlns:a14="http://schemas.microsoft.com/office/drawing/2010/main" val="0"/>
                                              </a:ext>
                                            </a:extLst>
                                          </a:blip>
                                          <a:srcRect l="21110" r="17210"/>
                                          <a:stretch>
                                            <a:fillRect/>
                                          </a:stretch>
                                        </pic:blipFill>
                                        <pic:spPr>
                                          <a:xfrm>
                                            <a:off x="0" y="0"/>
                                            <a:ext cx="2361286" cy="755650"/>
                                          </a:xfrm>
                                          <a:prstGeom prst="rect">
                                            <a:avLst/>
                                          </a:prstGeom>
                                          <a:noFill/>
                                          <a:ln>
                                            <a:noFill/>
                                          </a:ln>
                                        </pic:spPr>
                                      </pic:pic>
                                    </a:graphicData>
                                  </a:graphic>
                                </wp:inline>
                              </w:drawing>
                            </w:r>
                          </w:p>
                          <w:p w14:paraId="296674CF">
                            <w:pPr>
                              <w:jc w:val="cente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Rectangle 4" o:spid="_x0000_s1026" o:spt="1" style="position:absolute;left:0pt;margin-top:290.4pt;height:464.65pt;width:598.4pt;mso-position-horizontal:left;mso-position-horizontal-relative:page;z-index:251659264;v-text-anchor:middle;mso-width-relative:page;mso-height-relative:page;" fillcolor="#F15E24 [3209]" filled="t" stroked="f" coordsize="21600,21600" o:gfxdata="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">
                <v:fill on="t" focussize="0,0"/>
                <v:stroke on="f" weight="1.5pt" miterlimit="8" joinstyle="miter"/>
                <v:imagedata o:title=""/>
                <o:lock v:ext="edit" aspectratio="f"/>
                <v:textbox>
                  <w:txbxContent>
                    <w:p w14:paraId="5D8DA519">
                      <w:pPr>
                        <w:jc w:val="center"/>
                      </w:pPr>
                    </w:p>
                    <w:p w14:paraId="7C07B5FE">
                      <w:pPr>
                        <w:jc w:val="center"/>
                        <w:rPr>
                          <w:rFonts w:ascii="Mona Sans" w:hAnsi="Mona Sans" w:cs="Calibri"/>
                          <w:b/>
                          <w:bCs/>
                          <w:color w:val="FFFFFF" w:themeColor="background1"/>
                          <w:sz w:val="56"/>
                          <w:szCs w:val="56"/>
                          <w14:textFill>
                            <w14:solidFill>
                              <w14:schemeClr w14:val="bg1"/>
                            </w14:solidFill>
                          </w14:textFill>
                        </w:rPr>
                      </w:pPr>
                      <w:r>
                        <w:rPr>
                          <w:rFonts w:ascii="Mona Sans" w:hAnsi="Mona Sans" w:cs="Calibri"/>
                          <w:b/>
                          <w:bCs/>
                          <w:color w:val="FFFFFF" w:themeColor="background1"/>
                          <w:sz w:val="56"/>
                          <w:szCs w:val="56"/>
                          <w14:textFill>
                            <w14:solidFill>
                              <w14:schemeClr w14:val="bg1"/>
                            </w14:solidFill>
                          </w14:textFill>
                        </w:rPr>
                        <w:t>TERMS OF REFERENCE</w:t>
                      </w:r>
                    </w:p>
                    <w:p w14:paraId="5EC3746D">
                      <w:pPr>
                        <w:ind w:left="1440" w:right="1664"/>
                        <w:jc w:val="center"/>
                        <w:rPr>
                          <w:rFonts w:ascii="Mona Sans" w:hAnsi="Mona Sans" w:cs="Calibri"/>
                          <w:b/>
                          <w:bCs/>
                          <w:color w:val="FFFFFF" w:themeColor="background1"/>
                          <w:sz w:val="40"/>
                          <w:szCs w:val="40"/>
                          <w14:textFill>
                            <w14:solidFill>
                              <w14:schemeClr w14:val="bg1"/>
                            </w14:solidFill>
                          </w14:textFill>
                        </w:rPr>
                      </w:pPr>
                      <w:r>
                        <w:rPr>
                          <w:rFonts w:ascii="Mona Sans" w:hAnsi="Mona Sans" w:cs="Calibri"/>
                          <w:b/>
                          <w:bCs/>
                          <w:color w:val="FFFFFF" w:themeColor="background1"/>
                          <w:sz w:val="40"/>
                          <w:szCs w:val="40"/>
                          <w14:textFill>
                            <w14:solidFill>
                              <w14:schemeClr w14:val="bg1"/>
                            </w14:solidFill>
                          </w14:textFill>
                        </w:rPr>
                        <w:t>Consultant for the final external evaluation of the project: “Roma women activism against child marriages in Serbia” implemented by Roma Women Center “Bibija”</w:t>
                      </w:r>
                    </w:p>
                    <w:p w14:paraId="4EDDD226">
                      <w:pPr>
                        <w:jc w:val="center"/>
                        <w:rPr>
                          <w:rFonts w:ascii="Mona Sans" w:hAnsi="Mona Sans" w:cs="Calibri"/>
                          <w:szCs w:val="22"/>
                        </w:rPr>
                      </w:pPr>
                    </w:p>
                    <w:p w14:paraId="5C60B1AC">
                      <w:pPr>
                        <w:jc w:val="center"/>
                        <w:rPr>
                          <w:rFonts w:ascii="Mona Sans" w:hAnsi="Mona Sans" w:cs="Calibri"/>
                          <w:szCs w:val="22"/>
                        </w:rPr>
                      </w:pPr>
                    </w:p>
                    <w:p w14:paraId="1224D0AF">
                      <w:pPr>
                        <w:jc w:val="center"/>
                        <w:rPr>
                          <w:rFonts w:cs="Calibri"/>
                          <w:b/>
                          <w:bCs/>
                          <w:color w:val="5300FF" w:themeColor="accent3"/>
                          <w:sz w:val="48"/>
                          <w:szCs w:val="48"/>
                          <w14:textFill>
                            <w14:solidFill>
                              <w14:schemeClr w14:val="accent3"/>
                            </w14:solidFill>
                          </w14:textFill>
                        </w:rPr>
                      </w:pPr>
                    </w:p>
                    <w:p w14:paraId="1FE3105A">
                      <w:pPr>
                        <w:jc w:val="center"/>
                      </w:pPr>
                    </w:p>
                    <w:p w14:paraId="210F1AB7">
                      <w:pPr>
                        <w:jc w:val="center"/>
                        <w:rPr>
                          <w:rFonts w:cs="Calibri"/>
                          <w:b/>
                          <w:bCs/>
                          <w:color w:val="5300FF" w:themeColor="accent3"/>
                          <w:sz w:val="48"/>
                          <w:szCs w:val="48"/>
                          <w14:textFill>
                            <w14:solidFill>
                              <w14:schemeClr w14:val="accent3"/>
                            </w14:solidFill>
                          </w14:textFill>
                        </w:rPr>
                      </w:pPr>
                      <w:r>
                        <w:drawing>
                          <wp:inline distT="0" distB="0" distL="0" distR="0">
                            <wp:extent cx="2360930" cy="755015"/>
                            <wp:effectExtent l="0" t="0" r="0" b="6985"/>
                            <wp:docPr id="715680366" name="Picture 12"/>
                            <wp:cNvGraphicFramePr/>
                            <a:graphic xmlns:a="http://schemas.openxmlformats.org/drawingml/2006/main">
                              <a:graphicData uri="http://schemas.openxmlformats.org/drawingml/2006/picture">
                                <pic:pic xmlns:pic="http://schemas.openxmlformats.org/drawingml/2006/picture">
                                  <pic:nvPicPr>
                                    <pic:cNvPr id="715680366" name="Picture 12"/>
                                    <pic:cNvPicPr/>
                                  </pic:nvPicPr>
                                  <pic:blipFill>
                                    <a:blip r:embed="rId8" cstate="print">
                                      <a:extLst>
                                        <a:ext uri="{28A0092B-C50C-407E-A947-70E740481C1C}">
                                          <a14:useLocalDpi xmlns:a14="http://schemas.microsoft.com/office/drawing/2010/main" val="0"/>
                                        </a:ext>
                                      </a:extLst>
                                    </a:blip>
                                    <a:srcRect l="21110" r="17210"/>
                                    <a:stretch>
                                      <a:fillRect/>
                                    </a:stretch>
                                  </pic:blipFill>
                                  <pic:spPr>
                                    <a:xfrm>
                                      <a:off x="0" y="0"/>
                                      <a:ext cx="2361286" cy="755650"/>
                                    </a:xfrm>
                                    <a:prstGeom prst="rect">
                                      <a:avLst/>
                                    </a:prstGeom>
                                    <a:noFill/>
                                    <a:ln>
                                      <a:noFill/>
                                    </a:ln>
                                  </pic:spPr>
                                </pic:pic>
                              </a:graphicData>
                            </a:graphic>
                          </wp:inline>
                        </w:drawing>
                      </w:r>
                    </w:p>
                    <w:p w14:paraId="296674CF">
                      <w:pPr>
                        <w:jc w:val="center"/>
                      </w:pPr>
                    </w:p>
                  </w:txbxContent>
                </v:textbox>
              </v:rect>
            </w:pict>
          </mc:Fallback>
        </mc:AlternateContent>
      </w:r>
      <w:r>
        <w:rPr>
          <w:rFonts w:cs="Calibri"/>
          <w:szCs w:val="22"/>
        </w:rPr>
        <w:br w:type="page"/>
      </w:r>
    </w:p>
    <w:sdt>
      <w:sdtPr>
        <w:rPr>
          <w:rFonts w:cs="Calibri" w:eastAsiaTheme="minorEastAsia"/>
        </w:rPr>
        <w:id w:val="-600487847"/>
        <w:docPartObj>
          <w:docPartGallery w:val="Table of Contents"/>
          <w:docPartUnique/>
        </w:docPartObj>
      </w:sdtPr>
      <w:sdtEndPr>
        <w:rPr>
          <w:rFonts w:cs="Calibri" w:eastAsiaTheme="minorEastAsia"/>
          <w:b/>
          <w:bCs/>
        </w:rPr>
      </w:sdtEndPr>
      <w:sdtContent>
        <w:p w14:paraId="5F95426B">
          <w:pPr>
            <w:rPr>
              <w:rFonts w:cs="Calibri"/>
              <w:b/>
              <w:bCs/>
              <w:color w:val="F15E24" w:themeColor="accent6"/>
              <w14:textFill>
                <w14:solidFill>
                  <w14:schemeClr w14:val="accent6"/>
                </w14:solidFill>
              </w14:textFill>
            </w:rPr>
          </w:pPr>
          <w:r>
            <w:rPr>
              <w:rFonts w:cs="Calibri"/>
              <w:b/>
              <w:bCs/>
              <w:color w:val="F15E24" w:themeColor="accent6"/>
              <w14:textFill>
                <w14:solidFill>
                  <w14:schemeClr w14:val="accent6"/>
                </w14:solidFill>
              </w14:textFill>
            </w:rPr>
            <w:t>CONTENTS</w:t>
          </w:r>
        </w:p>
        <w:p w14:paraId="3C8599D4">
          <w:pPr>
            <w:pStyle w:val="28"/>
            <w:tabs>
              <w:tab w:val="right" w:leader="dot" w:pos="9016"/>
            </w:tabs>
            <w:rPr>
              <w:rFonts w:eastAsiaTheme="minorEastAsia"/>
              <w:sz w:val="24"/>
              <w:lang w:eastAsia="en-GB"/>
            </w:rPr>
          </w:pPr>
          <w:r>
            <w:rPr>
              <w:rFonts w:cs="Calibri"/>
              <w:szCs w:val="22"/>
            </w:rPr>
            <w:fldChar w:fldCharType="begin"/>
          </w:r>
          <w:r>
            <w:rPr>
              <w:rFonts w:cs="Calibri"/>
              <w:szCs w:val="22"/>
            </w:rPr>
            <w:instrText xml:space="preserve"> TOC \o "1-3" \h \z \u </w:instrText>
          </w:r>
          <w:r>
            <w:rPr>
              <w:rFonts w:cs="Calibri"/>
              <w:szCs w:val="22"/>
            </w:rPr>
            <w:fldChar w:fldCharType="separate"/>
          </w:r>
          <w:r>
            <w:fldChar w:fldCharType="begin"/>
          </w:r>
          <w:r>
            <w:instrText xml:space="preserve"> HYPERLINK \l "_Toc237970482" </w:instrText>
          </w:r>
          <w:r>
            <w:fldChar w:fldCharType="separate"/>
          </w:r>
          <w:r>
            <w:rPr>
              <w:rStyle w:val="23"/>
            </w:rPr>
            <w:t>KEY INFORMATION ABOUT THE ASSIGNEMENT</w:t>
          </w:r>
          <w:r>
            <w:tab/>
          </w:r>
          <w:r>
            <w:fldChar w:fldCharType="begin"/>
          </w:r>
          <w:r>
            <w:instrText xml:space="preserve"> PAGEREF _Toc237970482 \h </w:instrText>
          </w:r>
          <w:r>
            <w:fldChar w:fldCharType="separate"/>
          </w:r>
          <w:r>
            <w:t>3</w:t>
          </w:r>
          <w:r>
            <w:fldChar w:fldCharType="end"/>
          </w:r>
          <w:r>
            <w:fldChar w:fldCharType="end"/>
          </w:r>
        </w:p>
        <w:p w14:paraId="6C6B320E">
          <w:pPr>
            <w:pStyle w:val="28"/>
            <w:tabs>
              <w:tab w:val="left" w:pos="480"/>
              <w:tab w:val="right" w:leader="dot" w:pos="9016"/>
            </w:tabs>
            <w:rPr>
              <w:rFonts w:eastAsiaTheme="minorEastAsia"/>
              <w:sz w:val="24"/>
              <w:lang w:eastAsia="en-GB"/>
            </w:rPr>
          </w:pPr>
          <w:r>
            <w:fldChar w:fldCharType="begin"/>
          </w:r>
          <w:r>
            <w:instrText xml:space="preserve"> HYPERLINK \l "_Toc237970483" </w:instrText>
          </w:r>
          <w:r>
            <w:fldChar w:fldCharType="separate"/>
          </w:r>
          <w:r>
            <w:rPr>
              <w:rStyle w:val="23"/>
            </w:rPr>
            <w:t>1.</w:t>
          </w:r>
          <w:r>
            <w:rPr>
              <w:rFonts w:eastAsiaTheme="minorEastAsia"/>
              <w:sz w:val="24"/>
              <w:lang w:eastAsia="en-GB"/>
            </w:rPr>
            <w:tab/>
          </w:r>
          <w:r>
            <w:rPr>
              <w:rStyle w:val="23"/>
            </w:rPr>
            <w:t>BACKGROUND</w:t>
          </w:r>
          <w:r>
            <w:tab/>
          </w:r>
          <w:r>
            <w:fldChar w:fldCharType="begin"/>
          </w:r>
          <w:r>
            <w:instrText xml:space="preserve"> PAGEREF _Toc237970483 \h </w:instrText>
          </w:r>
          <w:r>
            <w:fldChar w:fldCharType="separate"/>
          </w:r>
          <w:r>
            <w:t>3</w:t>
          </w:r>
          <w:r>
            <w:fldChar w:fldCharType="end"/>
          </w:r>
          <w:r>
            <w:fldChar w:fldCharType="end"/>
          </w:r>
        </w:p>
        <w:p w14:paraId="676C2D55">
          <w:pPr>
            <w:pStyle w:val="29"/>
            <w:tabs>
              <w:tab w:val="left" w:pos="960"/>
              <w:tab w:val="right" w:leader="dot" w:pos="9016"/>
            </w:tabs>
            <w:rPr>
              <w:rFonts w:eastAsiaTheme="minorEastAsia"/>
              <w:sz w:val="24"/>
              <w:lang w:eastAsia="en-GB"/>
            </w:rPr>
          </w:pPr>
          <w:r>
            <w:fldChar w:fldCharType="begin"/>
          </w:r>
          <w:r>
            <w:instrText xml:space="preserve"> HYPERLINK \l "_Toc237970484" </w:instrText>
          </w:r>
          <w:r>
            <w:fldChar w:fldCharType="separate"/>
          </w:r>
          <w:r>
            <w:rPr>
              <w:rStyle w:val="23"/>
            </w:rPr>
            <w:t>1.1.</w:t>
          </w:r>
          <w:r>
            <w:rPr>
              <w:rFonts w:eastAsiaTheme="minorEastAsia"/>
              <w:sz w:val="24"/>
              <w:lang w:eastAsia="en-GB"/>
            </w:rPr>
            <w:tab/>
          </w:r>
          <w:r>
            <w:rPr>
              <w:rStyle w:val="23"/>
            </w:rPr>
            <w:t>CONTEXT</w:t>
          </w:r>
          <w:r>
            <w:tab/>
          </w:r>
          <w:r>
            <w:fldChar w:fldCharType="begin"/>
          </w:r>
          <w:r>
            <w:instrText xml:space="preserve"> PAGEREF _Toc237970484 \h </w:instrText>
          </w:r>
          <w:r>
            <w:fldChar w:fldCharType="separate"/>
          </w:r>
          <w:r>
            <w:t>3</w:t>
          </w:r>
          <w:r>
            <w:fldChar w:fldCharType="end"/>
          </w:r>
          <w:r>
            <w:fldChar w:fldCharType="end"/>
          </w:r>
        </w:p>
        <w:p w14:paraId="3C140599">
          <w:pPr>
            <w:pStyle w:val="29"/>
            <w:tabs>
              <w:tab w:val="left" w:pos="960"/>
              <w:tab w:val="right" w:leader="dot" w:pos="9016"/>
            </w:tabs>
            <w:rPr>
              <w:rFonts w:eastAsiaTheme="minorEastAsia"/>
              <w:sz w:val="24"/>
              <w:lang w:eastAsia="en-GB"/>
            </w:rPr>
          </w:pPr>
          <w:r>
            <w:fldChar w:fldCharType="begin"/>
          </w:r>
          <w:r>
            <w:instrText xml:space="preserve"> HYPERLINK \l "_Toc237970485" </w:instrText>
          </w:r>
          <w:r>
            <w:fldChar w:fldCharType="separate"/>
          </w:r>
          <w:r>
            <w:rPr>
              <w:rStyle w:val="23"/>
            </w:rPr>
            <w:t>1.2.</w:t>
          </w:r>
          <w:r>
            <w:rPr>
              <w:rFonts w:eastAsiaTheme="minorEastAsia"/>
              <w:sz w:val="24"/>
              <w:lang w:eastAsia="en-GB"/>
            </w:rPr>
            <w:tab/>
          </w:r>
          <w:r>
            <w:rPr>
              <w:rStyle w:val="23"/>
            </w:rPr>
            <w:t>PROJECT DESCRIPTION</w:t>
          </w:r>
          <w:r>
            <w:tab/>
          </w:r>
          <w:r>
            <w:fldChar w:fldCharType="begin"/>
          </w:r>
          <w:r>
            <w:instrText xml:space="preserve"> PAGEREF _Toc237970485 \h </w:instrText>
          </w:r>
          <w:r>
            <w:fldChar w:fldCharType="separate"/>
          </w:r>
          <w:r>
            <w:t>4</w:t>
          </w:r>
          <w:r>
            <w:fldChar w:fldCharType="end"/>
          </w:r>
          <w:r>
            <w:fldChar w:fldCharType="end"/>
          </w:r>
        </w:p>
        <w:p w14:paraId="672791C0">
          <w:pPr>
            <w:pStyle w:val="29"/>
            <w:tabs>
              <w:tab w:val="left" w:pos="960"/>
              <w:tab w:val="right" w:leader="dot" w:pos="9016"/>
            </w:tabs>
            <w:rPr>
              <w:rFonts w:eastAsiaTheme="minorEastAsia"/>
              <w:sz w:val="24"/>
              <w:lang w:eastAsia="en-GB"/>
            </w:rPr>
          </w:pPr>
          <w:r>
            <w:fldChar w:fldCharType="begin"/>
          </w:r>
          <w:r>
            <w:instrText xml:space="preserve"> HYPERLINK \l "_Toc237970486" </w:instrText>
          </w:r>
          <w:r>
            <w:fldChar w:fldCharType="separate"/>
          </w:r>
          <w:r>
            <w:rPr>
              <w:rStyle w:val="23"/>
            </w:rPr>
            <w:t>1.3.</w:t>
          </w:r>
          <w:r>
            <w:rPr>
              <w:rFonts w:eastAsiaTheme="minorEastAsia"/>
              <w:sz w:val="24"/>
              <w:lang w:eastAsia="en-GB"/>
            </w:rPr>
            <w:tab/>
          </w:r>
          <w:r>
            <w:rPr>
              <w:rStyle w:val="23"/>
            </w:rPr>
            <w:t>PROJECT RESULTS FRAMEWORK</w:t>
          </w:r>
          <w:r>
            <w:tab/>
          </w:r>
          <w:r>
            <w:fldChar w:fldCharType="begin"/>
          </w:r>
          <w:r>
            <w:instrText xml:space="preserve"> PAGEREF _Toc237970486 \h </w:instrText>
          </w:r>
          <w:r>
            <w:fldChar w:fldCharType="separate"/>
          </w:r>
          <w:r>
            <w:t>8</w:t>
          </w:r>
          <w:r>
            <w:fldChar w:fldCharType="end"/>
          </w:r>
          <w:r>
            <w:fldChar w:fldCharType="end"/>
          </w:r>
        </w:p>
        <w:p w14:paraId="740F646A">
          <w:pPr>
            <w:pStyle w:val="28"/>
            <w:tabs>
              <w:tab w:val="left" w:pos="480"/>
              <w:tab w:val="right" w:leader="dot" w:pos="9016"/>
            </w:tabs>
            <w:rPr>
              <w:rFonts w:eastAsiaTheme="minorEastAsia"/>
              <w:sz w:val="24"/>
              <w:lang w:eastAsia="en-GB"/>
            </w:rPr>
          </w:pPr>
          <w:r>
            <w:fldChar w:fldCharType="begin"/>
          </w:r>
          <w:r>
            <w:instrText xml:space="preserve"> HYPERLINK \l "_Toc237970487" </w:instrText>
          </w:r>
          <w:r>
            <w:fldChar w:fldCharType="separate"/>
          </w:r>
          <w:r>
            <w:rPr>
              <w:rStyle w:val="23"/>
            </w:rPr>
            <w:t>2.</w:t>
          </w:r>
          <w:r>
            <w:rPr>
              <w:rFonts w:eastAsiaTheme="minorEastAsia"/>
              <w:sz w:val="24"/>
              <w:lang w:eastAsia="en-GB"/>
            </w:rPr>
            <w:tab/>
          </w:r>
          <w:r>
            <w:rPr>
              <w:rStyle w:val="23"/>
            </w:rPr>
            <w:t>PURPOSE, SCOPE AND OBJECTIVES OF THE EVALUATION</w:t>
          </w:r>
          <w:r>
            <w:tab/>
          </w:r>
          <w:r>
            <w:fldChar w:fldCharType="begin"/>
          </w:r>
          <w:r>
            <w:instrText xml:space="preserve"> PAGEREF _Toc237970487 \h </w:instrText>
          </w:r>
          <w:r>
            <w:fldChar w:fldCharType="separate"/>
          </w:r>
          <w:r>
            <w:t>10</w:t>
          </w:r>
          <w:r>
            <w:fldChar w:fldCharType="end"/>
          </w:r>
          <w:r>
            <w:fldChar w:fldCharType="end"/>
          </w:r>
        </w:p>
        <w:p w14:paraId="0D8C2568">
          <w:pPr>
            <w:pStyle w:val="29"/>
            <w:tabs>
              <w:tab w:val="left" w:pos="960"/>
              <w:tab w:val="right" w:leader="dot" w:pos="9016"/>
            </w:tabs>
            <w:rPr>
              <w:rFonts w:eastAsiaTheme="minorEastAsia"/>
              <w:sz w:val="24"/>
              <w:lang w:eastAsia="en-GB"/>
            </w:rPr>
          </w:pPr>
          <w:r>
            <w:fldChar w:fldCharType="begin"/>
          </w:r>
          <w:r>
            <w:instrText xml:space="preserve"> HYPERLINK \l "_Toc237970488" </w:instrText>
          </w:r>
          <w:r>
            <w:fldChar w:fldCharType="separate"/>
          </w:r>
          <w:r>
            <w:rPr>
              <w:rStyle w:val="23"/>
            </w:rPr>
            <w:t>2.1.</w:t>
          </w:r>
          <w:r>
            <w:rPr>
              <w:rFonts w:eastAsiaTheme="minorEastAsia"/>
              <w:sz w:val="24"/>
              <w:lang w:eastAsia="en-GB"/>
            </w:rPr>
            <w:tab/>
          </w:r>
          <w:r>
            <w:rPr>
              <w:rStyle w:val="23"/>
            </w:rPr>
            <w:t>PURPOSE OF THE EVALUATION</w:t>
          </w:r>
          <w:r>
            <w:tab/>
          </w:r>
          <w:r>
            <w:fldChar w:fldCharType="begin"/>
          </w:r>
          <w:r>
            <w:instrText xml:space="preserve"> PAGEREF _Toc237970488 \h </w:instrText>
          </w:r>
          <w:r>
            <w:fldChar w:fldCharType="separate"/>
          </w:r>
          <w:r>
            <w:t>10</w:t>
          </w:r>
          <w:r>
            <w:fldChar w:fldCharType="end"/>
          </w:r>
          <w:r>
            <w:fldChar w:fldCharType="end"/>
          </w:r>
        </w:p>
        <w:p w14:paraId="5483B3AA">
          <w:pPr>
            <w:pStyle w:val="29"/>
            <w:tabs>
              <w:tab w:val="left" w:pos="960"/>
              <w:tab w:val="right" w:leader="dot" w:pos="9016"/>
            </w:tabs>
            <w:rPr>
              <w:rFonts w:eastAsiaTheme="minorEastAsia"/>
              <w:sz w:val="24"/>
              <w:lang w:eastAsia="en-GB"/>
            </w:rPr>
          </w:pPr>
          <w:r>
            <w:fldChar w:fldCharType="begin"/>
          </w:r>
          <w:r>
            <w:instrText xml:space="preserve"> HYPERLINK \l "_Toc237970489" </w:instrText>
          </w:r>
          <w:r>
            <w:fldChar w:fldCharType="separate"/>
          </w:r>
          <w:r>
            <w:rPr>
              <w:rStyle w:val="23"/>
            </w:rPr>
            <w:t>2.2.</w:t>
          </w:r>
          <w:r>
            <w:rPr>
              <w:rFonts w:eastAsiaTheme="minorEastAsia"/>
              <w:sz w:val="24"/>
              <w:lang w:eastAsia="en-GB"/>
            </w:rPr>
            <w:tab/>
          </w:r>
          <w:r>
            <w:rPr>
              <w:rStyle w:val="23"/>
            </w:rPr>
            <w:t>OBJECTIVES OF THE EVALUATION</w:t>
          </w:r>
          <w:r>
            <w:tab/>
          </w:r>
          <w:r>
            <w:fldChar w:fldCharType="begin"/>
          </w:r>
          <w:r>
            <w:instrText xml:space="preserve"> PAGEREF _Toc237970489 \h </w:instrText>
          </w:r>
          <w:r>
            <w:fldChar w:fldCharType="separate"/>
          </w:r>
          <w:r>
            <w:t>11</w:t>
          </w:r>
          <w:r>
            <w:fldChar w:fldCharType="end"/>
          </w:r>
          <w:r>
            <w:fldChar w:fldCharType="end"/>
          </w:r>
        </w:p>
        <w:p w14:paraId="5B905307">
          <w:pPr>
            <w:pStyle w:val="29"/>
            <w:tabs>
              <w:tab w:val="left" w:pos="960"/>
              <w:tab w:val="right" w:leader="dot" w:pos="9016"/>
            </w:tabs>
            <w:rPr>
              <w:rFonts w:eastAsiaTheme="minorEastAsia"/>
              <w:sz w:val="24"/>
              <w:lang w:eastAsia="en-GB"/>
            </w:rPr>
          </w:pPr>
          <w:r>
            <w:fldChar w:fldCharType="begin"/>
          </w:r>
          <w:r>
            <w:instrText xml:space="preserve"> HYPERLINK \l "_Toc237970490" </w:instrText>
          </w:r>
          <w:r>
            <w:fldChar w:fldCharType="separate"/>
          </w:r>
          <w:r>
            <w:rPr>
              <w:rStyle w:val="23"/>
            </w:rPr>
            <w:t>2.3.</w:t>
          </w:r>
          <w:r>
            <w:rPr>
              <w:rFonts w:eastAsiaTheme="minorEastAsia"/>
              <w:sz w:val="24"/>
              <w:lang w:eastAsia="en-GB"/>
            </w:rPr>
            <w:tab/>
          </w:r>
          <w:r>
            <w:rPr>
              <w:rStyle w:val="23"/>
            </w:rPr>
            <w:t>SCOPE OF THE EVALUATION</w:t>
          </w:r>
          <w:r>
            <w:tab/>
          </w:r>
          <w:r>
            <w:fldChar w:fldCharType="begin"/>
          </w:r>
          <w:r>
            <w:instrText xml:space="preserve"> PAGEREF _Toc237970490 \h </w:instrText>
          </w:r>
          <w:r>
            <w:fldChar w:fldCharType="separate"/>
          </w:r>
          <w:r>
            <w:t>11</w:t>
          </w:r>
          <w:r>
            <w:fldChar w:fldCharType="end"/>
          </w:r>
          <w:r>
            <w:fldChar w:fldCharType="end"/>
          </w:r>
        </w:p>
        <w:p w14:paraId="4ACE1E51">
          <w:pPr>
            <w:pStyle w:val="30"/>
            <w:tabs>
              <w:tab w:val="left" w:pos="1440"/>
              <w:tab w:val="right" w:leader="dot" w:pos="9016"/>
            </w:tabs>
            <w:rPr>
              <w:rFonts w:eastAsiaTheme="minorEastAsia"/>
              <w:sz w:val="24"/>
              <w:lang w:eastAsia="en-GB"/>
            </w:rPr>
          </w:pPr>
          <w:r>
            <w:fldChar w:fldCharType="begin"/>
          </w:r>
          <w:r>
            <w:instrText xml:space="preserve"> HYPERLINK \l "_Toc237970491" </w:instrText>
          </w:r>
          <w:r>
            <w:fldChar w:fldCharType="separate"/>
          </w:r>
          <w:r>
            <w:rPr>
              <w:rStyle w:val="23"/>
            </w:rPr>
            <w:t>1.2.3.</w:t>
          </w:r>
          <w:r>
            <w:rPr>
              <w:rFonts w:eastAsiaTheme="minorEastAsia"/>
              <w:sz w:val="24"/>
              <w:lang w:eastAsia="en-GB"/>
            </w:rPr>
            <w:tab/>
          </w:r>
          <w:r>
            <w:rPr>
              <w:rStyle w:val="23"/>
            </w:rPr>
            <w:t>Timeframe</w:t>
          </w:r>
          <w:r>
            <w:tab/>
          </w:r>
          <w:r>
            <w:fldChar w:fldCharType="begin"/>
          </w:r>
          <w:r>
            <w:instrText xml:space="preserve"> PAGEREF _Toc237970491 \h </w:instrText>
          </w:r>
          <w:r>
            <w:fldChar w:fldCharType="separate"/>
          </w:r>
          <w:r>
            <w:t>11</w:t>
          </w:r>
          <w:r>
            <w:fldChar w:fldCharType="end"/>
          </w:r>
          <w:r>
            <w:fldChar w:fldCharType="end"/>
          </w:r>
        </w:p>
        <w:p w14:paraId="606DDD0B">
          <w:pPr>
            <w:pStyle w:val="30"/>
            <w:tabs>
              <w:tab w:val="left" w:pos="1440"/>
              <w:tab w:val="right" w:leader="dot" w:pos="9016"/>
            </w:tabs>
            <w:rPr>
              <w:rFonts w:eastAsiaTheme="minorEastAsia"/>
              <w:sz w:val="24"/>
              <w:lang w:eastAsia="en-GB"/>
            </w:rPr>
          </w:pPr>
          <w:r>
            <w:fldChar w:fldCharType="begin"/>
          </w:r>
          <w:r>
            <w:instrText xml:space="preserve"> HYPERLINK \l "_Toc237970492" </w:instrText>
          </w:r>
          <w:r>
            <w:fldChar w:fldCharType="separate"/>
          </w:r>
          <w:r>
            <w:rPr>
              <w:rStyle w:val="23"/>
            </w:rPr>
            <w:t>2.2.3.</w:t>
          </w:r>
          <w:r>
            <w:rPr>
              <w:rFonts w:eastAsiaTheme="minorEastAsia"/>
              <w:sz w:val="24"/>
              <w:lang w:eastAsia="en-GB"/>
            </w:rPr>
            <w:tab/>
          </w:r>
          <w:r>
            <w:rPr>
              <w:rStyle w:val="23"/>
            </w:rPr>
            <w:t>Geographic Coverage</w:t>
          </w:r>
          <w:r>
            <w:tab/>
          </w:r>
          <w:r>
            <w:fldChar w:fldCharType="begin"/>
          </w:r>
          <w:r>
            <w:instrText xml:space="preserve"> PAGEREF _Toc237970492 \h </w:instrText>
          </w:r>
          <w:r>
            <w:fldChar w:fldCharType="separate"/>
          </w:r>
          <w:r>
            <w:t>11</w:t>
          </w:r>
          <w:r>
            <w:fldChar w:fldCharType="end"/>
          </w:r>
          <w:r>
            <w:fldChar w:fldCharType="end"/>
          </w:r>
        </w:p>
        <w:p w14:paraId="71C5E41B">
          <w:pPr>
            <w:pStyle w:val="30"/>
            <w:tabs>
              <w:tab w:val="left" w:pos="1440"/>
              <w:tab w:val="right" w:leader="dot" w:pos="9016"/>
            </w:tabs>
            <w:rPr>
              <w:rFonts w:eastAsiaTheme="minorEastAsia"/>
              <w:sz w:val="24"/>
              <w:lang w:eastAsia="en-GB"/>
            </w:rPr>
          </w:pPr>
          <w:r>
            <w:fldChar w:fldCharType="begin"/>
          </w:r>
          <w:r>
            <w:instrText xml:space="preserve"> HYPERLINK \l "_Toc237970493" </w:instrText>
          </w:r>
          <w:r>
            <w:fldChar w:fldCharType="separate"/>
          </w:r>
          <w:r>
            <w:rPr>
              <w:rStyle w:val="23"/>
            </w:rPr>
            <w:t>3.2.3.</w:t>
          </w:r>
          <w:r>
            <w:rPr>
              <w:rFonts w:eastAsiaTheme="minorEastAsia"/>
              <w:sz w:val="24"/>
              <w:lang w:eastAsia="en-GB"/>
            </w:rPr>
            <w:tab/>
          </w:r>
          <w:r>
            <w:rPr>
              <w:rStyle w:val="23"/>
            </w:rPr>
            <w:t>Target groups</w:t>
          </w:r>
          <w:r>
            <w:tab/>
          </w:r>
          <w:r>
            <w:fldChar w:fldCharType="begin"/>
          </w:r>
          <w:r>
            <w:instrText xml:space="preserve"> PAGEREF _Toc237970493 \h </w:instrText>
          </w:r>
          <w:r>
            <w:fldChar w:fldCharType="separate"/>
          </w:r>
          <w:r>
            <w:t>11</w:t>
          </w:r>
          <w:r>
            <w:fldChar w:fldCharType="end"/>
          </w:r>
          <w:r>
            <w:fldChar w:fldCharType="end"/>
          </w:r>
        </w:p>
        <w:p w14:paraId="4FCCDC57">
          <w:pPr>
            <w:pStyle w:val="28"/>
            <w:tabs>
              <w:tab w:val="left" w:pos="480"/>
              <w:tab w:val="right" w:leader="dot" w:pos="9016"/>
            </w:tabs>
            <w:rPr>
              <w:rFonts w:eastAsiaTheme="minorEastAsia"/>
              <w:sz w:val="24"/>
              <w:lang w:eastAsia="en-GB"/>
            </w:rPr>
          </w:pPr>
          <w:r>
            <w:fldChar w:fldCharType="begin"/>
          </w:r>
          <w:r>
            <w:instrText xml:space="preserve"> HYPERLINK \l "_Toc237970494" </w:instrText>
          </w:r>
          <w:r>
            <w:fldChar w:fldCharType="separate"/>
          </w:r>
          <w:r>
            <w:rPr>
              <w:rStyle w:val="23"/>
            </w:rPr>
            <w:t>3.</w:t>
          </w:r>
          <w:r>
            <w:rPr>
              <w:rFonts w:eastAsiaTheme="minorEastAsia"/>
              <w:sz w:val="24"/>
              <w:lang w:eastAsia="en-GB"/>
            </w:rPr>
            <w:tab/>
          </w:r>
          <w:r>
            <w:rPr>
              <w:rStyle w:val="23"/>
            </w:rPr>
            <w:t>EVALUATION CRITERIA AND QUESTIONS</w:t>
          </w:r>
          <w:r>
            <w:tab/>
          </w:r>
          <w:r>
            <w:fldChar w:fldCharType="begin"/>
          </w:r>
          <w:r>
            <w:instrText xml:space="preserve"> PAGEREF _Toc237970494 \h </w:instrText>
          </w:r>
          <w:r>
            <w:fldChar w:fldCharType="separate"/>
          </w:r>
          <w:r>
            <w:t>12</w:t>
          </w:r>
          <w:r>
            <w:fldChar w:fldCharType="end"/>
          </w:r>
          <w:r>
            <w:fldChar w:fldCharType="end"/>
          </w:r>
        </w:p>
        <w:p w14:paraId="012DCB41">
          <w:pPr>
            <w:pStyle w:val="28"/>
            <w:tabs>
              <w:tab w:val="left" w:pos="480"/>
              <w:tab w:val="right" w:leader="dot" w:pos="9016"/>
            </w:tabs>
            <w:rPr>
              <w:rFonts w:eastAsiaTheme="minorEastAsia"/>
              <w:sz w:val="24"/>
              <w:lang w:eastAsia="en-GB"/>
            </w:rPr>
          </w:pPr>
          <w:r>
            <w:fldChar w:fldCharType="begin"/>
          </w:r>
          <w:r>
            <w:instrText xml:space="preserve"> HYPERLINK \l "_Toc237970495" </w:instrText>
          </w:r>
          <w:r>
            <w:fldChar w:fldCharType="separate"/>
          </w:r>
          <w:r>
            <w:rPr>
              <w:rStyle w:val="23"/>
            </w:rPr>
            <w:t>4.</w:t>
          </w:r>
          <w:r>
            <w:rPr>
              <w:rFonts w:eastAsiaTheme="minorEastAsia"/>
              <w:sz w:val="24"/>
              <w:lang w:eastAsia="en-GB"/>
            </w:rPr>
            <w:tab/>
          </w:r>
          <w:r>
            <w:rPr>
              <w:rStyle w:val="23"/>
            </w:rPr>
            <w:t>EVALUATION DESIGN AND METHODOLOGY</w:t>
          </w:r>
          <w:r>
            <w:tab/>
          </w:r>
          <w:r>
            <w:fldChar w:fldCharType="begin"/>
          </w:r>
          <w:r>
            <w:instrText xml:space="preserve"> PAGEREF _Toc237970495 \h </w:instrText>
          </w:r>
          <w:r>
            <w:fldChar w:fldCharType="separate"/>
          </w:r>
          <w:r>
            <w:t>14</w:t>
          </w:r>
          <w:r>
            <w:fldChar w:fldCharType="end"/>
          </w:r>
          <w:r>
            <w:fldChar w:fldCharType="end"/>
          </w:r>
        </w:p>
        <w:p w14:paraId="54DB2154">
          <w:pPr>
            <w:pStyle w:val="29"/>
            <w:tabs>
              <w:tab w:val="left" w:pos="960"/>
              <w:tab w:val="right" w:leader="dot" w:pos="9016"/>
            </w:tabs>
            <w:rPr>
              <w:rFonts w:eastAsiaTheme="minorEastAsia"/>
              <w:sz w:val="24"/>
              <w:lang w:eastAsia="en-GB"/>
            </w:rPr>
          </w:pPr>
          <w:r>
            <w:fldChar w:fldCharType="begin"/>
          </w:r>
          <w:r>
            <w:instrText xml:space="preserve"> HYPERLINK \l "_Toc237970496" </w:instrText>
          </w:r>
          <w:r>
            <w:fldChar w:fldCharType="separate"/>
          </w:r>
          <w:r>
            <w:rPr>
              <w:rStyle w:val="23"/>
            </w:rPr>
            <w:t>4.1.</w:t>
          </w:r>
          <w:r>
            <w:rPr>
              <w:rFonts w:eastAsiaTheme="minorEastAsia"/>
              <w:sz w:val="24"/>
              <w:lang w:eastAsia="en-GB"/>
            </w:rPr>
            <w:tab/>
          </w:r>
          <w:r>
            <w:rPr>
              <w:rStyle w:val="23"/>
            </w:rPr>
            <w:t>PROPOSED EVALUATION DESIGN</w:t>
          </w:r>
          <w:r>
            <w:tab/>
          </w:r>
          <w:r>
            <w:fldChar w:fldCharType="begin"/>
          </w:r>
          <w:r>
            <w:instrText xml:space="preserve"> PAGEREF _Toc237970496 \h </w:instrText>
          </w:r>
          <w:r>
            <w:fldChar w:fldCharType="separate"/>
          </w:r>
          <w:r>
            <w:t>14</w:t>
          </w:r>
          <w:r>
            <w:fldChar w:fldCharType="end"/>
          </w:r>
          <w:r>
            <w:fldChar w:fldCharType="end"/>
          </w:r>
        </w:p>
        <w:p w14:paraId="759A6D81">
          <w:pPr>
            <w:pStyle w:val="29"/>
            <w:tabs>
              <w:tab w:val="left" w:pos="960"/>
              <w:tab w:val="right" w:leader="dot" w:pos="9016"/>
            </w:tabs>
            <w:rPr>
              <w:rFonts w:eastAsiaTheme="minorEastAsia"/>
              <w:sz w:val="24"/>
              <w:lang w:eastAsia="en-GB"/>
            </w:rPr>
          </w:pPr>
          <w:r>
            <w:fldChar w:fldCharType="begin"/>
          </w:r>
          <w:r>
            <w:instrText xml:space="preserve"> HYPERLINK \l "_Toc237970497" </w:instrText>
          </w:r>
          <w:r>
            <w:fldChar w:fldCharType="separate"/>
          </w:r>
          <w:r>
            <w:rPr>
              <w:rStyle w:val="23"/>
            </w:rPr>
            <w:t>4.2.</w:t>
          </w:r>
          <w:r>
            <w:rPr>
              <w:rFonts w:eastAsiaTheme="minorEastAsia"/>
              <w:sz w:val="24"/>
              <w:lang w:eastAsia="en-GB"/>
            </w:rPr>
            <w:tab/>
          </w:r>
          <w:r>
            <w:rPr>
              <w:rStyle w:val="23"/>
            </w:rPr>
            <w:t>DATA SOURCES</w:t>
          </w:r>
          <w:r>
            <w:tab/>
          </w:r>
          <w:r>
            <w:fldChar w:fldCharType="begin"/>
          </w:r>
          <w:r>
            <w:instrText xml:space="preserve"> PAGEREF _Toc237970497 \h </w:instrText>
          </w:r>
          <w:r>
            <w:fldChar w:fldCharType="separate"/>
          </w:r>
          <w:r>
            <w:t>14</w:t>
          </w:r>
          <w:r>
            <w:fldChar w:fldCharType="end"/>
          </w:r>
          <w:r>
            <w:fldChar w:fldCharType="end"/>
          </w:r>
        </w:p>
        <w:p w14:paraId="4067D8F0">
          <w:pPr>
            <w:pStyle w:val="29"/>
            <w:tabs>
              <w:tab w:val="left" w:pos="960"/>
              <w:tab w:val="right" w:leader="dot" w:pos="9016"/>
            </w:tabs>
            <w:rPr>
              <w:rFonts w:eastAsiaTheme="minorEastAsia"/>
              <w:sz w:val="24"/>
              <w:lang w:eastAsia="en-GB"/>
            </w:rPr>
          </w:pPr>
          <w:r>
            <w:fldChar w:fldCharType="begin"/>
          </w:r>
          <w:r>
            <w:instrText xml:space="preserve"> HYPERLINK \l "_Toc237970498" </w:instrText>
          </w:r>
          <w:r>
            <w:fldChar w:fldCharType="separate"/>
          </w:r>
          <w:r>
            <w:rPr>
              <w:rStyle w:val="23"/>
            </w:rPr>
            <w:t>4.3.</w:t>
          </w:r>
          <w:r>
            <w:rPr>
              <w:rFonts w:eastAsiaTheme="minorEastAsia"/>
              <w:sz w:val="24"/>
              <w:lang w:eastAsia="en-GB"/>
            </w:rPr>
            <w:tab/>
          </w:r>
          <w:r>
            <w:rPr>
              <w:rStyle w:val="23"/>
            </w:rPr>
            <w:t>REQUIRED DATA COLLECTION METHODS</w:t>
          </w:r>
          <w:r>
            <w:tab/>
          </w:r>
          <w:r>
            <w:fldChar w:fldCharType="begin"/>
          </w:r>
          <w:r>
            <w:instrText xml:space="preserve"> PAGEREF _Toc237970498 \h </w:instrText>
          </w:r>
          <w:r>
            <w:fldChar w:fldCharType="separate"/>
          </w:r>
          <w:r>
            <w:t>14</w:t>
          </w:r>
          <w:r>
            <w:fldChar w:fldCharType="end"/>
          </w:r>
          <w:r>
            <w:fldChar w:fldCharType="end"/>
          </w:r>
        </w:p>
        <w:p w14:paraId="6AFA3864">
          <w:pPr>
            <w:pStyle w:val="29"/>
            <w:tabs>
              <w:tab w:val="left" w:pos="960"/>
              <w:tab w:val="right" w:leader="dot" w:pos="9016"/>
            </w:tabs>
            <w:rPr>
              <w:rFonts w:eastAsiaTheme="minorEastAsia"/>
              <w:sz w:val="24"/>
              <w:lang w:eastAsia="en-GB"/>
            </w:rPr>
          </w:pPr>
          <w:r>
            <w:fldChar w:fldCharType="begin"/>
          </w:r>
          <w:r>
            <w:instrText xml:space="preserve"> HYPERLINK \l "_Toc237970499" </w:instrText>
          </w:r>
          <w:r>
            <w:fldChar w:fldCharType="separate"/>
          </w:r>
          <w:r>
            <w:rPr>
              <w:rStyle w:val="23"/>
            </w:rPr>
            <w:t>4.4.</w:t>
          </w:r>
          <w:r>
            <w:rPr>
              <w:rFonts w:eastAsiaTheme="minorEastAsia"/>
              <w:sz w:val="24"/>
              <w:lang w:eastAsia="en-GB"/>
            </w:rPr>
            <w:tab/>
          </w:r>
          <w:r>
            <w:rPr>
              <w:rStyle w:val="23"/>
            </w:rPr>
            <w:t>SAMPLING STRATEGY</w:t>
          </w:r>
          <w:r>
            <w:tab/>
          </w:r>
          <w:r>
            <w:fldChar w:fldCharType="begin"/>
          </w:r>
          <w:r>
            <w:instrText xml:space="preserve"> PAGEREF _Toc237970499 \h </w:instrText>
          </w:r>
          <w:r>
            <w:fldChar w:fldCharType="separate"/>
          </w:r>
          <w:r>
            <w:t>15</w:t>
          </w:r>
          <w:r>
            <w:fldChar w:fldCharType="end"/>
          </w:r>
          <w:r>
            <w:fldChar w:fldCharType="end"/>
          </w:r>
        </w:p>
        <w:p w14:paraId="1C523FED">
          <w:pPr>
            <w:pStyle w:val="29"/>
            <w:tabs>
              <w:tab w:val="left" w:pos="960"/>
              <w:tab w:val="right" w:leader="dot" w:pos="9016"/>
            </w:tabs>
            <w:rPr>
              <w:rFonts w:eastAsiaTheme="minorEastAsia"/>
              <w:sz w:val="24"/>
              <w:lang w:eastAsia="en-GB"/>
            </w:rPr>
          </w:pPr>
          <w:r>
            <w:fldChar w:fldCharType="begin"/>
          </w:r>
          <w:r>
            <w:instrText xml:space="preserve"> HYPERLINK \l "_Toc237970500" </w:instrText>
          </w:r>
          <w:r>
            <w:fldChar w:fldCharType="separate"/>
          </w:r>
          <w:r>
            <w:rPr>
              <w:rStyle w:val="23"/>
            </w:rPr>
            <w:t>4.5.</w:t>
          </w:r>
          <w:r>
            <w:rPr>
              <w:rFonts w:eastAsiaTheme="minorEastAsia"/>
              <w:sz w:val="24"/>
              <w:lang w:eastAsia="en-GB"/>
            </w:rPr>
            <w:tab/>
          </w:r>
          <w:r>
            <w:rPr>
              <w:rStyle w:val="23"/>
            </w:rPr>
            <w:t>DATA ANALYSIS APPROACH</w:t>
          </w:r>
          <w:r>
            <w:tab/>
          </w:r>
          <w:r>
            <w:fldChar w:fldCharType="begin"/>
          </w:r>
          <w:r>
            <w:instrText xml:space="preserve"> PAGEREF _Toc237970500 \h </w:instrText>
          </w:r>
          <w:r>
            <w:fldChar w:fldCharType="separate"/>
          </w:r>
          <w:r>
            <w:t>15</w:t>
          </w:r>
          <w:r>
            <w:fldChar w:fldCharType="end"/>
          </w:r>
          <w:r>
            <w:fldChar w:fldCharType="end"/>
          </w:r>
        </w:p>
        <w:p w14:paraId="1A6B3AA5">
          <w:pPr>
            <w:pStyle w:val="29"/>
            <w:tabs>
              <w:tab w:val="left" w:pos="960"/>
              <w:tab w:val="right" w:leader="dot" w:pos="9016"/>
            </w:tabs>
            <w:rPr>
              <w:rFonts w:eastAsiaTheme="minorEastAsia"/>
              <w:sz w:val="24"/>
              <w:lang w:eastAsia="en-GB"/>
            </w:rPr>
          </w:pPr>
          <w:r>
            <w:fldChar w:fldCharType="begin"/>
          </w:r>
          <w:r>
            <w:instrText xml:space="preserve"> HYPERLINK \l "_Toc237970501" </w:instrText>
          </w:r>
          <w:r>
            <w:fldChar w:fldCharType="separate"/>
          </w:r>
          <w:r>
            <w:rPr>
              <w:rStyle w:val="23"/>
            </w:rPr>
            <w:t>4.6.</w:t>
          </w:r>
          <w:r>
            <w:rPr>
              <w:rFonts w:eastAsiaTheme="minorEastAsia"/>
              <w:sz w:val="24"/>
              <w:lang w:eastAsia="en-GB"/>
            </w:rPr>
            <w:tab/>
          </w:r>
          <w:r>
            <w:rPr>
              <w:rStyle w:val="23"/>
            </w:rPr>
            <w:t>STAKEHOLDER ENGAGEMENT</w:t>
          </w:r>
          <w:r>
            <w:tab/>
          </w:r>
          <w:r>
            <w:fldChar w:fldCharType="begin"/>
          </w:r>
          <w:r>
            <w:instrText xml:space="preserve"> PAGEREF _Toc237970501 \h </w:instrText>
          </w:r>
          <w:r>
            <w:fldChar w:fldCharType="separate"/>
          </w:r>
          <w:r>
            <w:t>16</w:t>
          </w:r>
          <w:r>
            <w:fldChar w:fldCharType="end"/>
          </w:r>
          <w:r>
            <w:fldChar w:fldCharType="end"/>
          </w:r>
        </w:p>
        <w:p w14:paraId="1EB593BA">
          <w:pPr>
            <w:pStyle w:val="29"/>
            <w:tabs>
              <w:tab w:val="left" w:pos="960"/>
              <w:tab w:val="right" w:leader="dot" w:pos="9016"/>
            </w:tabs>
            <w:rPr>
              <w:rFonts w:eastAsiaTheme="minorEastAsia"/>
              <w:sz w:val="24"/>
              <w:lang w:eastAsia="en-GB"/>
            </w:rPr>
          </w:pPr>
          <w:r>
            <w:fldChar w:fldCharType="begin"/>
          </w:r>
          <w:r>
            <w:instrText xml:space="preserve"> HYPERLINK \l "_Toc237970502" </w:instrText>
          </w:r>
          <w:r>
            <w:fldChar w:fldCharType="separate"/>
          </w:r>
          <w:r>
            <w:rPr>
              <w:rStyle w:val="23"/>
            </w:rPr>
            <w:t>4.7.</w:t>
          </w:r>
          <w:r>
            <w:rPr>
              <w:rFonts w:eastAsiaTheme="minorEastAsia"/>
              <w:sz w:val="24"/>
              <w:lang w:eastAsia="en-GB"/>
            </w:rPr>
            <w:tab/>
          </w:r>
          <w:r>
            <w:rPr>
              <w:rStyle w:val="23"/>
            </w:rPr>
            <w:t>FIELD VISITS</w:t>
          </w:r>
          <w:r>
            <w:tab/>
          </w:r>
          <w:r>
            <w:fldChar w:fldCharType="begin"/>
          </w:r>
          <w:r>
            <w:instrText xml:space="preserve"> PAGEREF _Toc237970502 \h </w:instrText>
          </w:r>
          <w:r>
            <w:fldChar w:fldCharType="separate"/>
          </w:r>
          <w:r>
            <w:t>16</w:t>
          </w:r>
          <w:r>
            <w:fldChar w:fldCharType="end"/>
          </w:r>
          <w:r>
            <w:fldChar w:fldCharType="end"/>
          </w:r>
        </w:p>
        <w:p w14:paraId="36F0FA7F">
          <w:pPr>
            <w:pStyle w:val="29"/>
            <w:tabs>
              <w:tab w:val="left" w:pos="960"/>
              <w:tab w:val="right" w:leader="dot" w:pos="9016"/>
            </w:tabs>
            <w:rPr>
              <w:rFonts w:eastAsiaTheme="minorEastAsia"/>
              <w:sz w:val="24"/>
              <w:lang w:eastAsia="en-GB"/>
            </w:rPr>
          </w:pPr>
          <w:r>
            <w:fldChar w:fldCharType="begin"/>
          </w:r>
          <w:r>
            <w:instrText xml:space="preserve"> HYPERLINK \l "_Toc237970503" </w:instrText>
          </w:r>
          <w:r>
            <w:fldChar w:fldCharType="separate"/>
          </w:r>
          <w:r>
            <w:rPr>
              <w:rStyle w:val="23"/>
            </w:rPr>
            <w:t>4.8.</w:t>
          </w:r>
          <w:r>
            <w:rPr>
              <w:rFonts w:eastAsiaTheme="minorEastAsia"/>
              <w:sz w:val="24"/>
              <w:lang w:eastAsia="en-GB"/>
            </w:rPr>
            <w:tab/>
          </w:r>
          <w:r>
            <w:rPr>
              <w:rStyle w:val="23"/>
            </w:rPr>
            <w:t>ETHICAL AND SAFETY CONSIDERATIONS</w:t>
          </w:r>
          <w:r>
            <w:tab/>
          </w:r>
          <w:r>
            <w:fldChar w:fldCharType="begin"/>
          </w:r>
          <w:r>
            <w:instrText xml:space="preserve"> PAGEREF _Toc237970503 \h </w:instrText>
          </w:r>
          <w:r>
            <w:fldChar w:fldCharType="separate"/>
          </w:r>
          <w:r>
            <w:t>16</w:t>
          </w:r>
          <w:r>
            <w:fldChar w:fldCharType="end"/>
          </w:r>
          <w:r>
            <w:fldChar w:fldCharType="end"/>
          </w:r>
        </w:p>
        <w:p w14:paraId="55C6AF41">
          <w:pPr>
            <w:pStyle w:val="28"/>
            <w:tabs>
              <w:tab w:val="left" w:pos="480"/>
              <w:tab w:val="right" w:leader="dot" w:pos="9016"/>
            </w:tabs>
            <w:rPr>
              <w:rFonts w:eastAsiaTheme="minorEastAsia"/>
              <w:sz w:val="24"/>
              <w:lang w:eastAsia="en-GB"/>
            </w:rPr>
          </w:pPr>
          <w:r>
            <w:fldChar w:fldCharType="begin"/>
          </w:r>
          <w:r>
            <w:instrText xml:space="preserve"> HYPERLINK \l "_Toc237970506" </w:instrText>
          </w:r>
          <w:r>
            <w:fldChar w:fldCharType="separate"/>
          </w:r>
          <w:r>
            <w:rPr>
              <w:rStyle w:val="23"/>
            </w:rPr>
            <w:t>5.</w:t>
          </w:r>
          <w:r>
            <w:rPr>
              <w:rFonts w:eastAsiaTheme="minorEastAsia"/>
              <w:sz w:val="24"/>
              <w:lang w:eastAsia="en-GB"/>
            </w:rPr>
            <w:tab/>
          </w:r>
          <w:r>
            <w:rPr>
              <w:rStyle w:val="23"/>
            </w:rPr>
            <w:t>KEY DELIVERABLES AND TIMELINE</w:t>
          </w:r>
          <w:r>
            <w:tab/>
          </w:r>
          <w:r>
            <w:fldChar w:fldCharType="begin"/>
          </w:r>
          <w:r>
            <w:instrText xml:space="preserve"> PAGEREF _Toc237970506 \h </w:instrText>
          </w:r>
          <w:r>
            <w:fldChar w:fldCharType="separate"/>
          </w:r>
          <w:r>
            <w:t>17</w:t>
          </w:r>
          <w:r>
            <w:fldChar w:fldCharType="end"/>
          </w:r>
          <w:r>
            <w:fldChar w:fldCharType="end"/>
          </w:r>
        </w:p>
        <w:p w14:paraId="423E37A4">
          <w:pPr>
            <w:pStyle w:val="28"/>
            <w:tabs>
              <w:tab w:val="left" w:pos="480"/>
              <w:tab w:val="right" w:leader="dot" w:pos="9016"/>
            </w:tabs>
            <w:rPr>
              <w:rFonts w:eastAsiaTheme="minorEastAsia"/>
              <w:sz w:val="24"/>
              <w:lang w:eastAsia="en-GB"/>
            </w:rPr>
          </w:pPr>
          <w:r>
            <w:fldChar w:fldCharType="begin"/>
          </w:r>
          <w:r>
            <w:instrText xml:space="preserve"> HYPERLINK \l "_Toc237970507" </w:instrText>
          </w:r>
          <w:r>
            <w:fldChar w:fldCharType="separate"/>
          </w:r>
          <w:r>
            <w:rPr>
              <w:rStyle w:val="23"/>
            </w:rPr>
            <w:t>6.</w:t>
          </w:r>
          <w:r>
            <w:rPr>
              <w:rFonts w:eastAsiaTheme="minorEastAsia"/>
              <w:sz w:val="24"/>
              <w:lang w:eastAsia="en-GB"/>
            </w:rPr>
            <w:tab/>
          </w:r>
          <w:r>
            <w:rPr>
              <w:rStyle w:val="23"/>
            </w:rPr>
            <w:t>ROLES AND RESPONSIBILITIES</w:t>
          </w:r>
          <w:r>
            <w:tab/>
          </w:r>
          <w:r>
            <w:fldChar w:fldCharType="begin"/>
          </w:r>
          <w:r>
            <w:instrText xml:space="preserve"> PAGEREF _Toc237970507 \h </w:instrText>
          </w:r>
          <w:r>
            <w:fldChar w:fldCharType="separate"/>
          </w:r>
          <w:r>
            <w:t>18</w:t>
          </w:r>
          <w:r>
            <w:fldChar w:fldCharType="end"/>
          </w:r>
          <w:r>
            <w:fldChar w:fldCharType="end"/>
          </w:r>
        </w:p>
        <w:p w14:paraId="67E95F0D">
          <w:pPr>
            <w:pStyle w:val="28"/>
            <w:tabs>
              <w:tab w:val="left" w:pos="480"/>
              <w:tab w:val="right" w:leader="dot" w:pos="9016"/>
            </w:tabs>
            <w:rPr>
              <w:rFonts w:eastAsiaTheme="minorEastAsia"/>
              <w:sz w:val="24"/>
              <w:lang w:eastAsia="en-GB"/>
            </w:rPr>
          </w:pPr>
          <w:r>
            <w:fldChar w:fldCharType="begin"/>
          </w:r>
          <w:r>
            <w:instrText xml:space="preserve"> HYPERLINK \l "_Toc237970508" </w:instrText>
          </w:r>
          <w:r>
            <w:fldChar w:fldCharType="separate"/>
          </w:r>
          <w:r>
            <w:rPr>
              <w:rStyle w:val="23"/>
            </w:rPr>
            <w:t>7.</w:t>
          </w:r>
          <w:r>
            <w:rPr>
              <w:rFonts w:eastAsiaTheme="minorEastAsia"/>
              <w:sz w:val="24"/>
              <w:lang w:eastAsia="en-GB"/>
            </w:rPr>
            <w:tab/>
          </w:r>
          <w:r>
            <w:rPr>
              <w:rStyle w:val="23"/>
            </w:rPr>
            <w:t>MANAGEMENT AND REPORTING ARRANGEMENTS</w:t>
          </w:r>
          <w:r>
            <w:tab/>
          </w:r>
          <w:r>
            <w:fldChar w:fldCharType="begin"/>
          </w:r>
          <w:r>
            <w:instrText xml:space="preserve"> PAGEREF _Toc237970508 \h </w:instrText>
          </w:r>
          <w:r>
            <w:fldChar w:fldCharType="separate"/>
          </w:r>
          <w:r>
            <w:t>19</w:t>
          </w:r>
          <w:r>
            <w:fldChar w:fldCharType="end"/>
          </w:r>
          <w:r>
            <w:fldChar w:fldCharType="end"/>
          </w:r>
        </w:p>
        <w:p w14:paraId="7EF052B5">
          <w:pPr>
            <w:pStyle w:val="28"/>
            <w:tabs>
              <w:tab w:val="left" w:pos="480"/>
              <w:tab w:val="right" w:leader="dot" w:pos="9016"/>
            </w:tabs>
            <w:rPr>
              <w:rFonts w:eastAsiaTheme="minorEastAsia"/>
              <w:sz w:val="24"/>
              <w:lang w:eastAsia="en-GB"/>
            </w:rPr>
          </w:pPr>
          <w:r>
            <w:fldChar w:fldCharType="begin"/>
          </w:r>
          <w:r>
            <w:instrText xml:space="preserve"> HYPERLINK \l "_Toc237970509" </w:instrText>
          </w:r>
          <w:r>
            <w:fldChar w:fldCharType="separate"/>
          </w:r>
          <w:r>
            <w:rPr>
              <w:rStyle w:val="23"/>
            </w:rPr>
            <w:t>8.</w:t>
          </w:r>
          <w:r>
            <w:rPr>
              <w:rFonts w:eastAsiaTheme="minorEastAsia"/>
              <w:sz w:val="24"/>
              <w:lang w:eastAsia="en-GB"/>
            </w:rPr>
            <w:tab/>
          </w:r>
          <w:r>
            <w:rPr>
              <w:rStyle w:val="23"/>
            </w:rPr>
            <w:t>BUDGET AND PAYMENT SCHEDULE</w:t>
          </w:r>
          <w:r>
            <w:tab/>
          </w:r>
          <w:r>
            <w:fldChar w:fldCharType="begin"/>
          </w:r>
          <w:r>
            <w:instrText xml:space="preserve"> PAGEREF _Toc237970509 \h </w:instrText>
          </w:r>
          <w:r>
            <w:fldChar w:fldCharType="separate"/>
          </w:r>
          <w:r>
            <w:t>19</w:t>
          </w:r>
          <w:r>
            <w:fldChar w:fldCharType="end"/>
          </w:r>
          <w:r>
            <w:fldChar w:fldCharType="end"/>
          </w:r>
        </w:p>
        <w:p w14:paraId="64A1D38D">
          <w:pPr>
            <w:pStyle w:val="28"/>
            <w:tabs>
              <w:tab w:val="left" w:pos="480"/>
              <w:tab w:val="right" w:leader="dot" w:pos="9016"/>
            </w:tabs>
            <w:rPr>
              <w:rFonts w:eastAsiaTheme="minorEastAsia"/>
              <w:sz w:val="24"/>
              <w:lang w:eastAsia="en-GB"/>
            </w:rPr>
          </w:pPr>
          <w:r>
            <w:fldChar w:fldCharType="begin"/>
          </w:r>
          <w:r>
            <w:instrText xml:space="preserve"> HYPERLINK \l "_Toc237970510" </w:instrText>
          </w:r>
          <w:r>
            <w:fldChar w:fldCharType="separate"/>
          </w:r>
          <w:r>
            <w:rPr>
              <w:rStyle w:val="23"/>
            </w:rPr>
            <w:t>9.</w:t>
          </w:r>
          <w:r>
            <w:rPr>
              <w:rFonts w:eastAsiaTheme="minorEastAsia"/>
              <w:sz w:val="24"/>
              <w:lang w:eastAsia="en-GB"/>
            </w:rPr>
            <w:tab/>
          </w:r>
          <w:r>
            <w:rPr>
              <w:rStyle w:val="23"/>
            </w:rPr>
            <w:t>QUALIFICATIONS AND REQUIRED EXPERTISE</w:t>
          </w:r>
          <w:r>
            <w:tab/>
          </w:r>
          <w:r>
            <w:fldChar w:fldCharType="begin"/>
          </w:r>
          <w:r>
            <w:instrText xml:space="preserve"> PAGEREF _Toc237970510 \h </w:instrText>
          </w:r>
          <w:r>
            <w:fldChar w:fldCharType="separate"/>
          </w:r>
          <w:r>
            <w:t>20</w:t>
          </w:r>
          <w:r>
            <w:fldChar w:fldCharType="end"/>
          </w:r>
          <w:r>
            <w:fldChar w:fldCharType="end"/>
          </w:r>
        </w:p>
        <w:p w14:paraId="2F3DB458">
          <w:pPr>
            <w:pStyle w:val="28"/>
            <w:tabs>
              <w:tab w:val="left" w:pos="720"/>
              <w:tab w:val="right" w:leader="dot" w:pos="9016"/>
            </w:tabs>
            <w:rPr>
              <w:rFonts w:eastAsiaTheme="minorEastAsia"/>
              <w:sz w:val="24"/>
              <w:lang w:eastAsia="en-GB"/>
            </w:rPr>
          </w:pPr>
          <w:r>
            <w:fldChar w:fldCharType="begin"/>
          </w:r>
          <w:r>
            <w:instrText xml:space="preserve"> HYPERLINK \l "_Toc237970511" </w:instrText>
          </w:r>
          <w:r>
            <w:fldChar w:fldCharType="separate"/>
          </w:r>
          <w:r>
            <w:rPr>
              <w:rStyle w:val="23"/>
            </w:rPr>
            <w:t>10.</w:t>
          </w:r>
          <w:r>
            <w:rPr>
              <w:rFonts w:eastAsiaTheme="minorEastAsia"/>
              <w:sz w:val="24"/>
              <w:lang w:eastAsia="en-GB"/>
            </w:rPr>
            <w:tab/>
          </w:r>
          <w:r>
            <w:rPr>
              <w:rStyle w:val="23"/>
            </w:rPr>
            <w:t>APPLICATION REQUIREMENTS</w:t>
          </w:r>
          <w:r>
            <w:tab/>
          </w:r>
          <w:r>
            <w:fldChar w:fldCharType="begin"/>
          </w:r>
          <w:r>
            <w:instrText xml:space="preserve"> PAGEREF _Toc237970511 \h </w:instrText>
          </w:r>
          <w:r>
            <w:fldChar w:fldCharType="separate"/>
          </w:r>
          <w:r>
            <w:t>21</w:t>
          </w:r>
          <w:r>
            <w:fldChar w:fldCharType="end"/>
          </w:r>
          <w:r>
            <w:fldChar w:fldCharType="end"/>
          </w:r>
        </w:p>
        <w:p w14:paraId="6D3C71ED">
          <w:pPr>
            <w:pStyle w:val="28"/>
            <w:tabs>
              <w:tab w:val="left" w:pos="720"/>
              <w:tab w:val="right" w:leader="dot" w:pos="9016"/>
            </w:tabs>
            <w:rPr>
              <w:rFonts w:eastAsiaTheme="minorEastAsia"/>
              <w:sz w:val="24"/>
              <w:lang w:eastAsia="en-GB"/>
            </w:rPr>
          </w:pPr>
          <w:r>
            <w:fldChar w:fldCharType="begin"/>
          </w:r>
          <w:r>
            <w:instrText xml:space="preserve"> HYPERLINK \l "_Toc237970512" </w:instrText>
          </w:r>
          <w:r>
            <w:fldChar w:fldCharType="separate"/>
          </w:r>
          <w:r>
            <w:rPr>
              <w:rStyle w:val="23"/>
            </w:rPr>
            <w:t>11.</w:t>
          </w:r>
          <w:r>
            <w:rPr>
              <w:rFonts w:eastAsiaTheme="minorEastAsia"/>
              <w:sz w:val="24"/>
              <w:lang w:eastAsia="en-GB"/>
            </w:rPr>
            <w:tab/>
          </w:r>
          <w:r>
            <w:rPr>
              <w:rStyle w:val="23"/>
            </w:rPr>
            <w:t>RESOURCES</w:t>
          </w:r>
          <w:r>
            <w:tab/>
          </w:r>
          <w:r>
            <w:fldChar w:fldCharType="begin"/>
          </w:r>
          <w:r>
            <w:instrText xml:space="preserve"> PAGEREF _Toc237970512 \h </w:instrText>
          </w:r>
          <w:r>
            <w:fldChar w:fldCharType="separate"/>
          </w:r>
          <w:r>
            <w:t>21</w:t>
          </w:r>
          <w:r>
            <w:fldChar w:fldCharType="end"/>
          </w:r>
          <w:r>
            <w:fldChar w:fldCharType="end"/>
          </w:r>
        </w:p>
        <w:p w14:paraId="42EB88C2">
          <w:pPr>
            <w:pStyle w:val="28"/>
            <w:tabs>
              <w:tab w:val="right" w:leader="dot" w:pos="9016"/>
            </w:tabs>
            <w:rPr>
              <w:rFonts w:eastAsiaTheme="minorEastAsia"/>
              <w:sz w:val="24"/>
              <w:lang w:eastAsia="en-GB"/>
            </w:rPr>
          </w:pPr>
          <w:r>
            <w:fldChar w:fldCharType="begin"/>
          </w:r>
          <w:r>
            <w:instrText xml:space="preserve"> HYPERLINK \l "_Toc237970513" </w:instrText>
          </w:r>
          <w:r>
            <w:fldChar w:fldCharType="separate"/>
          </w:r>
          <w:r>
            <w:rPr>
              <w:rStyle w:val="23"/>
            </w:rPr>
            <w:t>FURTHER READING &amp; RESOURCES</w:t>
          </w:r>
          <w:r>
            <w:tab/>
          </w:r>
          <w:r>
            <w:fldChar w:fldCharType="begin"/>
          </w:r>
          <w:r>
            <w:instrText xml:space="preserve"> PAGEREF _Toc237970513 \h </w:instrText>
          </w:r>
          <w:r>
            <w:fldChar w:fldCharType="separate"/>
          </w:r>
          <w:r>
            <w:t>22</w:t>
          </w:r>
          <w:r>
            <w:fldChar w:fldCharType="end"/>
          </w:r>
          <w:r>
            <w:fldChar w:fldCharType="end"/>
          </w:r>
        </w:p>
        <w:p w14:paraId="7C21E3C0">
          <w:pPr>
            <w:rPr>
              <w:rFonts w:cs="Calibri"/>
              <w:szCs w:val="22"/>
            </w:rPr>
          </w:pPr>
          <w:r>
            <w:rPr>
              <w:rFonts w:cs="Calibri"/>
              <w:b/>
              <w:bCs/>
              <w:szCs w:val="22"/>
            </w:rPr>
            <w:fldChar w:fldCharType="end"/>
          </w:r>
        </w:p>
      </w:sdtContent>
    </w:sdt>
    <w:p w14:paraId="598C9F69">
      <w:pPr>
        <w:pStyle w:val="44"/>
        <w:numPr>
          <w:ilvl w:val="0"/>
          <w:numId w:val="2"/>
        </w:numPr>
        <w:rPr>
          <w:rFonts w:cs="Calibri" w:eastAsiaTheme="majorEastAsia"/>
          <w:b/>
          <w:bCs/>
          <w:color w:val="F15E24" w:themeColor="accent6"/>
          <w:sz w:val="40"/>
          <w:szCs w:val="40"/>
          <w14:textFill>
            <w14:solidFill>
              <w14:schemeClr w14:val="accent6"/>
            </w14:solidFill>
          </w14:textFill>
        </w:rPr>
      </w:pPr>
      <w:r>
        <w:rPr>
          <w:rFonts w:cs="Calibri"/>
          <w:b/>
          <w:bCs/>
          <w:color w:val="F15E24" w:themeColor="accent6"/>
          <w14:textFill>
            <w14:solidFill>
              <w14:schemeClr w14:val="accent6"/>
            </w14:solidFill>
          </w14:textFill>
        </w:rPr>
        <w:br w:type="page"/>
      </w:r>
    </w:p>
    <w:p w14:paraId="4646C840">
      <w:pPr>
        <w:pStyle w:val="2"/>
        <w:numPr>
          <w:ilvl w:val="0"/>
          <w:numId w:val="0"/>
        </w:numPr>
        <w:jc w:val="center"/>
        <w:rPr>
          <w:sz w:val="36"/>
          <w:szCs w:val="36"/>
        </w:rPr>
      </w:pPr>
      <w:bookmarkStart w:id="0" w:name="_Toc237970482"/>
      <w:r>
        <w:rPr>
          <w:sz w:val="36"/>
          <w:szCs w:val="36"/>
        </w:rPr>
        <w:t>KEY INFORMATION ABOUT THE ASSIGNEMENT</w:t>
      </w:r>
      <w:bookmarkEnd w:id="0"/>
    </w:p>
    <w:tbl>
      <w:tblPr>
        <w:tblStyle w:val="12"/>
        <w:tblW w:w="9175"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2605"/>
        <w:gridCol w:w="6570"/>
      </w:tblGrid>
      <w:tr w14:paraId="06A5A99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52" w:hRule="atLeast"/>
          <w:jc w:val="center"/>
        </w:trPr>
        <w:tc>
          <w:tcPr>
            <w:tcW w:w="2605" w:type="dxa"/>
          </w:tcPr>
          <w:p w14:paraId="595496FD">
            <w:pPr>
              <w:spacing w:after="0" w:line="240" w:lineRule="auto"/>
              <w:rPr>
                <w:rFonts w:cs="Calibri"/>
                <w:b/>
                <w:szCs w:val="22"/>
              </w:rPr>
            </w:pPr>
            <w:r>
              <w:rPr>
                <w:rFonts w:cs="Calibri"/>
                <w:b/>
                <w:szCs w:val="22"/>
              </w:rPr>
              <w:t>Location</w:t>
            </w:r>
          </w:p>
        </w:tc>
        <w:tc>
          <w:tcPr>
            <w:tcW w:w="6570" w:type="dxa"/>
          </w:tcPr>
          <w:p w14:paraId="1D31480C">
            <w:pPr>
              <w:spacing w:after="0" w:line="240" w:lineRule="auto"/>
              <w:jc w:val="both"/>
              <w:rPr>
                <w:rFonts w:cs="Calibri"/>
                <w:b/>
                <w:szCs w:val="22"/>
              </w:rPr>
            </w:pPr>
            <w:r>
              <w:rPr>
                <w:rFonts w:cs="Calibri"/>
                <w:b/>
                <w:szCs w:val="22"/>
              </w:rPr>
              <w:t xml:space="preserve">Serbia </w:t>
            </w:r>
          </w:p>
        </w:tc>
      </w:tr>
      <w:tr w14:paraId="0BC5E77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2605" w:type="dxa"/>
          </w:tcPr>
          <w:p w14:paraId="1C66AB71">
            <w:pPr>
              <w:spacing w:after="0" w:line="240" w:lineRule="auto"/>
              <w:rPr>
                <w:rFonts w:cs="Calibri"/>
                <w:b/>
                <w:szCs w:val="22"/>
              </w:rPr>
            </w:pPr>
            <w:r>
              <w:rPr>
                <w:rFonts w:cs="Calibri"/>
                <w:b/>
                <w:szCs w:val="22"/>
              </w:rPr>
              <w:t>Application deadline</w:t>
            </w:r>
          </w:p>
        </w:tc>
        <w:tc>
          <w:tcPr>
            <w:tcW w:w="6570" w:type="dxa"/>
          </w:tcPr>
          <w:p w14:paraId="29CBD562">
            <w:pPr>
              <w:spacing w:after="0" w:line="240" w:lineRule="auto"/>
              <w:jc w:val="both"/>
              <w:rPr>
                <w:rFonts w:cs="Calibri"/>
                <w:b/>
                <w:szCs w:val="22"/>
              </w:rPr>
            </w:pPr>
            <w:r>
              <w:rPr>
                <w:rFonts w:cs="Calibri"/>
                <w:b/>
                <w:szCs w:val="22"/>
              </w:rPr>
              <w:t>29/08/2026</w:t>
            </w:r>
          </w:p>
        </w:tc>
      </w:tr>
      <w:tr w14:paraId="33698FB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2605" w:type="dxa"/>
          </w:tcPr>
          <w:p w14:paraId="424CC7E5">
            <w:pPr>
              <w:spacing w:after="0" w:line="240" w:lineRule="auto"/>
              <w:rPr>
                <w:rFonts w:cs="Calibri"/>
                <w:b/>
                <w:szCs w:val="22"/>
              </w:rPr>
            </w:pPr>
            <w:r>
              <w:rPr>
                <w:rFonts w:cs="Calibri"/>
                <w:b/>
                <w:szCs w:val="22"/>
              </w:rPr>
              <w:t>Languages required</w:t>
            </w:r>
          </w:p>
        </w:tc>
        <w:tc>
          <w:tcPr>
            <w:tcW w:w="6570" w:type="dxa"/>
          </w:tcPr>
          <w:p w14:paraId="169D80F9">
            <w:pPr>
              <w:spacing w:after="0" w:line="240" w:lineRule="auto"/>
              <w:jc w:val="both"/>
              <w:rPr>
                <w:rFonts w:cs="Calibri"/>
                <w:b/>
                <w:szCs w:val="22"/>
              </w:rPr>
            </w:pPr>
            <w:r>
              <w:rPr>
                <w:rFonts w:cs="Calibri"/>
                <w:b/>
                <w:szCs w:val="22"/>
              </w:rPr>
              <w:t>Serbian, English</w:t>
            </w:r>
          </w:p>
        </w:tc>
      </w:tr>
      <w:tr w14:paraId="3E19B74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2605" w:type="dxa"/>
          </w:tcPr>
          <w:p w14:paraId="73BA8530">
            <w:pPr>
              <w:spacing w:after="0" w:line="240" w:lineRule="auto"/>
              <w:rPr>
                <w:rFonts w:cs="Calibri"/>
                <w:b/>
                <w:szCs w:val="22"/>
              </w:rPr>
            </w:pPr>
            <w:r>
              <w:rPr>
                <w:rFonts w:cs="Calibri"/>
                <w:b/>
                <w:szCs w:val="22"/>
              </w:rPr>
              <w:t>Starting date</w:t>
            </w:r>
          </w:p>
        </w:tc>
        <w:tc>
          <w:tcPr>
            <w:tcW w:w="6570" w:type="dxa"/>
          </w:tcPr>
          <w:p w14:paraId="5594875C">
            <w:pPr>
              <w:spacing w:after="0" w:line="240" w:lineRule="auto"/>
              <w:jc w:val="both"/>
              <w:rPr>
                <w:rFonts w:cs="Calibri"/>
                <w:b/>
                <w:szCs w:val="22"/>
              </w:rPr>
            </w:pPr>
            <w:r>
              <w:rPr>
                <w:rFonts w:cs="Calibri"/>
                <w:b/>
                <w:szCs w:val="22"/>
              </w:rPr>
              <w:t>01/10/2026</w:t>
            </w:r>
          </w:p>
        </w:tc>
      </w:tr>
      <w:tr w14:paraId="6DD0935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2605" w:type="dxa"/>
          </w:tcPr>
          <w:p w14:paraId="7B98027D">
            <w:pPr>
              <w:spacing w:after="0" w:line="240" w:lineRule="auto"/>
              <w:rPr>
                <w:rFonts w:cs="Calibri"/>
                <w:b/>
                <w:szCs w:val="22"/>
              </w:rPr>
            </w:pPr>
            <w:r>
              <w:rPr>
                <w:rFonts w:cs="Calibri"/>
                <w:b/>
                <w:szCs w:val="22"/>
              </w:rPr>
              <w:t>Duration of assignment</w:t>
            </w:r>
          </w:p>
        </w:tc>
        <w:tc>
          <w:tcPr>
            <w:tcW w:w="6570" w:type="dxa"/>
          </w:tcPr>
          <w:p w14:paraId="11A4795D">
            <w:pPr>
              <w:spacing w:after="0" w:line="240" w:lineRule="auto"/>
              <w:jc w:val="both"/>
              <w:rPr>
                <w:rFonts w:cs="Calibri"/>
                <w:b/>
                <w:szCs w:val="22"/>
              </w:rPr>
            </w:pPr>
            <w:r>
              <w:rPr>
                <w:rFonts w:cs="Calibri"/>
                <w:b/>
                <w:szCs w:val="22"/>
              </w:rPr>
              <w:t>20-25 working days between 01/10/2026 and 20/12/2026</w:t>
            </w:r>
          </w:p>
        </w:tc>
      </w:tr>
    </w:tbl>
    <w:p w14:paraId="68406A2B">
      <w:pPr>
        <w:spacing w:after="120" w:line="240" w:lineRule="auto"/>
        <w:jc w:val="both"/>
        <w:rPr>
          <w:rFonts w:cs="Calibri"/>
          <w:b/>
          <w:bCs/>
          <w:color w:val="F15E24" w:themeColor="accent6"/>
          <w14:textFill>
            <w14:solidFill>
              <w14:schemeClr w14:val="accent6"/>
            </w14:solidFill>
          </w14:textFill>
        </w:rPr>
      </w:pPr>
    </w:p>
    <w:p w14:paraId="460513EB">
      <w:pPr>
        <w:pStyle w:val="2"/>
      </w:pPr>
      <w:bookmarkStart w:id="1" w:name="_Toc237970483"/>
      <w:r>
        <w:t>BACKGROUND</w:t>
      </w:r>
      <w:bookmarkEnd w:id="1"/>
    </w:p>
    <w:p w14:paraId="14F1B539">
      <w:pPr>
        <w:pStyle w:val="3"/>
      </w:pPr>
      <w:bookmarkStart w:id="2" w:name="_Toc237970484"/>
      <w:r>
        <w:t>CONTEXT</w:t>
      </w:r>
      <w:bookmarkEnd w:id="2"/>
    </w:p>
    <w:p w14:paraId="65188D6A">
      <w:pPr>
        <w:jc w:val="both"/>
      </w:pPr>
      <w:r>
        <w:t xml:space="preserve">Child marriage in Roma communities in Serbia is a complex human rights issue driven by the intersection of poverty, discrimination, gender inequality, and harmful social norms. Despite numerous efforts by civil society, donors, and state authorities, improvements in the status of Roma women are slow due to the vicious cycle of poverty and discrimination in which they find themselves. </w:t>
      </w:r>
      <w:r>
        <w:rPr>
          <w:rFonts w:cs="Times New Roman"/>
        </w:rPr>
        <w:t>The UNICEF research of multiple indicator cluster survey Serbia 2019 shows that 55,7% Roma women got married before the age of 18, while 15,8% got married before the age of 15, and 56,57% are from the poorest Roma households.</w:t>
      </w:r>
      <w:r>
        <w:rPr>
          <w:rStyle w:val="20"/>
          <w:rFonts w:cs="Times New Roman"/>
        </w:rPr>
        <w:footnoteReference w:id="0"/>
      </w:r>
      <w:r>
        <w:rPr>
          <w:rFonts w:cs="Times New Roman"/>
        </w:rPr>
        <w:t xml:space="preserve"> </w:t>
      </w:r>
      <w:r>
        <w:t xml:space="preserve">With a sample of 3,014 respondents, the </w:t>
      </w:r>
      <w:r>
        <w:rPr>
          <w:i/>
          <w:iCs/>
        </w:rPr>
        <w:t>Results from the Survey on the Prevalence of Child Marriage in Serbia</w:t>
      </w:r>
      <w:r>
        <w:t xml:space="preserve"> report</w:t>
      </w:r>
      <w:r>
        <w:rPr>
          <w:rStyle w:val="20"/>
        </w:rPr>
        <w:footnoteReference w:id="1"/>
      </w:r>
      <w:r>
        <w:t xml:space="preserve"> shows that 49.27% of Roma women entered into marriage as minors, 45% between the ages of 18 and 25, while only 143 5% of Roma women married after the age of 25. </w:t>
      </w:r>
    </w:p>
    <w:p w14:paraId="2219EEFE">
      <w:pPr>
        <w:jc w:val="both"/>
      </w:pPr>
      <w:r>
        <w:t>Girls rarely choose to marry independently; instead, they are pressured by family members or the wider community through expectations, intimidation, threats, or force, including cases of bride kidnapping and bride sale. In some communities, particularly among Roma displaced from Kosovo during the 1990s, girls may be exchanged for financial compensation. The consequences are severe and lifelong. Girls who marry early are more likely to leave school, have multiple children, live in overcrowded households with poor living conditions, lack autonomy over reproductive decisions, and face limited employment opportunities, increasing their dependence on social assistance. Child marriage also significantly heightens the risk of psychological, physical, sexual, and economic violence, while many girls remain unaware of its harmful consequences because the practice has been normalised across generations.</w:t>
      </w:r>
    </w:p>
    <w:p w14:paraId="57F247E6">
      <w:pPr>
        <w:jc w:val="both"/>
      </w:pPr>
      <w:r>
        <w:t>Patriarchal norms, reinforced by racism and the social exclusion of Roma communities, place strong emphasis on controlling girls' sexuality and preserving family honour. Early marriage is widely perceived—both by many Roma community members, including influential male leaders, and by the majority population—as an inherent part of Roma identity. This perception reinforces stereotypes portraying Roma as unwilling or unable to integrate, while each wave of broader social retraditionalisation in Serbia further entrenches these attitudes. Roma women activists who have challenged child marriage since the 1990s have frequently faced intimidation, threats, and violence, particularly grassroots activists working within their own communities.</w:t>
      </w:r>
    </w:p>
    <w:p w14:paraId="4962FB8B">
      <w:pPr>
        <w:jc w:val="both"/>
      </w:pPr>
      <w:r>
        <w:t xml:space="preserve">Although Serbia has ratified international human rights instruments, including the UN Convention on the Rights of the Child, CEDAW, and the Istanbul Convention, child marriages often remain invisible because they are predominantly informal and rarely reported. Institutions frequently fail to intervene, justifying inaction as respect for “Roma cultural norms.” Schools, social welfare centres, police, and prosecutors often do not respond adequately, while statutory rape involving Roma girls is too often treated as an inevitable precursor to marriage rather than a criminal offence. The greater challenge lies in the tolerance of informal child marriages and weak enforcement of existing legislation. At the beginning of the project, Serbian legislation still allowed minors to enter into a formal marriage from the age of 16 with the approval of the court, based on an assessment of the minor’s maturity and parental consent. However, amendments to the Family Law currently proposed in the working draft introduce a complete prohibition of minor marriages with court approval. This represents a crucial step toward aligning national legislation with international standards on the protection of children’s rights. Strengthening cooperation between institutions and Roma civil society is therefore essential to ensure effective implementation of legal standards, improve community awareness of the harmful and criminal nature of child marriage, and establish consistent institutional responses to protect children. </w:t>
      </w:r>
    </w:p>
    <w:p w14:paraId="002C4EDE">
      <w:pPr>
        <w:jc w:val="both"/>
      </w:pPr>
    </w:p>
    <w:p w14:paraId="0AEE970E">
      <w:pPr>
        <w:pStyle w:val="3"/>
      </w:pPr>
      <w:bookmarkStart w:id="3" w:name="_Toc237970485"/>
      <w:r>
        <w:t>PROJECT DESCRIPTION</w:t>
      </w:r>
      <w:bookmarkEnd w:id="3"/>
    </w:p>
    <w:tbl>
      <w:tblPr>
        <w:tblStyle w:val="12"/>
        <w:tblW w:w="9180" w:type="dxa"/>
        <w:tblInd w:w="-9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2610"/>
        <w:gridCol w:w="6570"/>
      </w:tblGrid>
      <w:tr w14:paraId="3570B3B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9180" w:type="dxa"/>
            <w:gridSpan w:val="2"/>
            <w:shd w:val="clear" w:color="auto" w:fill="5300FF" w:themeFill="accent3"/>
          </w:tcPr>
          <w:p w14:paraId="4F9C2CD4">
            <w:pPr>
              <w:spacing w:after="0" w:line="259" w:lineRule="auto"/>
              <w:rPr>
                <w:rFonts w:ascii="Aptos" w:hAnsi="Aptos" w:eastAsia="Calibri" w:cs="Calibri"/>
                <w:b/>
                <w:bCs/>
                <w:kern w:val="0"/>
                <w:szCs w:val="22"/>
                <w14:ligatures w14:val="none"/>
              </w:rPr>
            </w:pPr>
            <w:r>
              <w:rPr>
                <w:rFonts w:ascii="Aptos" w:hAnsi="Aptos" w:eastAsia="Calibri" w:cs="Calibri"/>
                <w:b/>
                <w:bCs/>
                <w:kern w:val="0"/>
                <w:sz w:val="24"/>
                <w14:ligatures w14:val="none"/>
              </w:rPr>
              <w:t>Key information about the project</w:t>
            </w:r>
          </w:p>
        </w:tc>
      </w:tr>
      <w:tr w14:paraId="41F3AB4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610" w:type="dxa"/>
          </w:tcPr>
          <w:p w14:paraId="63FC79BC">
            <w:pPr>
              <w:spacing w:after="0" w:line="259" w:lineRule="auto"/>
              <w:rPr>
                <w:rFonts w:ascii="Aptos" w:hAnsi="Aptos" w:eastAsia="Calibri" w:cs="Calibri"/>
                <w:b/>
                <w:kern w:val="0"/>
                <w:szCs w:val="22"/>
                <w14:ligatures w14:val="none"/>
              </w:rPr>
            </w:pPr>
            <w:r>
              <w:rPr>
                <w:rFonts w:ascii="Aptos" w:hAnsi="Aptos" w:eastAsia="Calibri" w:cs="Calibri"/>
                <w:b/>
                <w:kern w:val="0"/>
                <w:szCs w:val="22"/>
                <w14:ligatures w14:val="none"/>
              </w:rPr>
              <w:t>Organization</w:t>
            </w:r>
          </w:p>
        </w:tc>
        <w:tc>
          <w:tcPr>
            <w:tcW w:w="6570" w:type="dxa"/>
          </w:tcPr>
          <w:p w14:paraId="67D71954">
            <w:pPr>
              <w:spacing w:after="0" w:line="259" w:lineRule="auto"/>
              <w:rPr>
                <w:rFonts w:ascii="Aptos" w:hAnsi="Aptos" w:eastAsia="Calibri" w:cs="Calibri"/>
                <w:kern w:val="0"/>
                <w:szCs w:val="22"/>
                <w14:ligatures w14:val="none"/>
              </w:rPr>
            </w:pPr>
            <w:r>
              <w:rPr>
                <w:rFonts w:ascii="Aptos" w:hAnsi="Aptos" w:eastAsia="Calibri" w:cs="Calibri"/>
                <w:kern w:val="0"/>
                <w:szCs w:val="22"/>
                <w14:ligatures w14:val="none"/>
              </w:rPr>
              <w:t>Roma Women Center “Bibija”</w:t>
            </w:r>
          </w:p>
        </w:tc>
      </w:tr>
      <w:tr w14:paraId="12F574F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610" w:type="dxa"/>
          </w:tcPr>
          <w:p w14:paraId="3BFE444B">
            <w:pPr>
              <w:spacing w:after="0" w:line="259" w:lineRule="auto"/>
              <w:rPr>
                <w:rFonts w:ascii="Aptos" w:hAnsi="Aptos" w:eastAsia="Calibri" w:cs="Calibri"/>
                <w:b/>
                <w:kern w:val="0"/>
                <w:szCs w:val="22"/>
                <w14:ligatures w14:val="none"/>
              </w:rPr>
            </w:pPr>
            <w:r>
              <w:rPr>
                <w:rFonts w:ascii="Aptos" w:hAnsi="Aptos" w:eastAsia="Calibri" w:cs="Calibri"/>
                <w:b/>
                <w:kern w:val="0"/>
                <w:szCs w:val="22"/>
                <w14:ligatures w14:val="none"/>
              </w:rPr>
              <w:t>Project title</w:t>
            </w:r>
          </w:p>
        </w:tc>
        <w:tc>
          <w:tcPr>
            <w:tcW w:w="6570" w:type="dxa"/>
          </w:tcPr>
          <w:p w14:paraId="248EBD00">
            <w:pPr>
              <w:spacing w:after="0" w:line="259" w:lineRule="auto"/>
              <w:rPr>
                <w:rFonts w:ascii="Aptos" w:hAnsi="Aptos" w:eastAsia="Calibri" w:cs="Calibri"/>
                <w:kern w:val="0"/>
                <w:szCs w:val="22"/>
                <w14:ligatures w14:val="none"/>
              </w:rPr>
            </w:pPr>
            <w:r>
              <w:rPr>
                <w:rFonts w:ascii="Aptos" w:hAnsi="Aptos" w:eastAsia="Calibri" w:cs="Calibri"/>
                <w:kern w:val="0"/>
                <w:szCs w:val="22"/>
                <w14:ligatures w14:val="none"/>
              </w:rPr>
              <w:t>Roma women activism against child marriages in Serbia</w:t>
            </w:r>
          </w:p>
        </w:tc>
      </w:tr>
      <w:tr w14:paraId="0C3FCC4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610" w:type="dxa"/>
          </w:tcPr>
          <w:p w14:paraId="6D957BB3">
            <w:pPr>
              <w:spacing w:after="0" w:line="259" w:lineRule="auto"/>
              <w:rPr>
                <w:rFonts w:ascii="Aptos" w:hAnsi="Aptos" w:eastAsia="Calibri" w:cs="Calibri"/>
                <w:b/>
                <w:kern w:val="0"/>
                <w:szCs w:val="22"/>
                <w14:ligatures w14:val="none"/>
              </w:rPr>
            </w:pPr>
            <w:r>
              <w:rPr>
                <w:rFonts w:ascii="Aptos" w:hAnsi="Aptos" w:eastAsia="Calibri" w:cs="Calibri"/>
                <w:b/>
                <w:kern w:val="0"/>
                <w:szCs w:val="22"/>
                <w14:ligatures w14:val="none"/>
              </w:rPr>
              <w:t>Project duration</w:t>
            </w:r>
          </w:p>
        </w:tc>
        <w:tc>
          <w:tcPr>
            <w:tcW w:w="6570" w:type="dxa"/>
          </w:tcPr>
          <w:p w14:paraId="1AB77CEA">
            <w:pPr>
              <w:spacing w:after="0" w:line="259" w:lineRule="auto"/>
              <w:rPr>
                <w:rFonts w:ascii="Aptos" w:hAnsi="Aptos" w:eastAsia="Calibri" w:cs="Calibri"/>
                <w:kern w:val="0"/>
                <w:szCs w:val="22"/>
                <w14:ligatures w14:val="none"/>
              </w:rPr>
            </w:pPr>
            <w:r>
              <w:rPr>
                <w:rFonts w:ascii="Aptos" w:hAnsi="Aptos" w:eastAsia="Calibri" w:cs="Calibri"/>
                <w:kern w:val="0"/>
                <w:szCs w:val="22"/>
                <w14:ligatures w14:val="none"/>
              </w:rPr>
              <w:t>01/10/2023-30/09/2026</w:t>
            </w:r>
          </w:p>
        </w:tc>
      </w:tr>
      <w:tr w14:paraId="5BCFA2A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610" w:type="dxa"/>
          </w:tcPr>
          <w:p w14:paraId="068CFDF7">
            <w:pPr>
              <w:spacing w:after="0" w:line="259" w:lineRule="auto"/>
              <w:rPr>
                <w:rFonts w:ascii="Aptos" w:hAnsi="Aptos" w:eastAsia="Calibri" w:cs="Calibri"/>
                <w:b/>
                <w:kern w:val="0"/>
                <w:szCs w:val="22"/>
                <w14:ligatures w14:val="none"/>
              </w:rPr>
            </w:pPr>
            <w:r>
              <w:rPr>
                <w:rFonts w:ascii="Aptos" w:hAnsi="Aptos" w:eastAsia="Calibri" w:cs="Calibri"/>
                <w:b/>
                <w:kern w:val="0"/>
                <w:szCs w:val="22"/>
                <w14:ligatures w14:val="none"/>
              </w:rPr>
              <w:t>Budget and expenditure</w:t>
            </w:r>
          </w:p>
        </w:tc>
        <w:tc>
          <w:tcPr>
            <w:tcW w:w="6570" w:type="dxa"/>
          </w:tcPr>
          <w:p w14:paraId="69F7A05B">
            <w:pPr>
              <w:spacing w:after="0" w:line="259" w:lineRule="auto"/>
              <w:rPr>
                <w:rFonts w:ascii="Aptos" w:hAnsi="Aptos" w:eastAsia="Calibri" w:cs="Calibri"/>
                <w:kern w:val="0"/>
                <w:szCs w:val="22"/>
                <w14:ligatures w14:val="none"/>
              </w:rPr>
            </w:pPr>
            <w:r>
              <w:rPr>
                <w:rFonts w:ascii="Aptos" w:hAnsi="Aptos" w:eastAsia="Calibri" w:cs="Calibri"/>
                <w:b/>
                <w:bCs/>
                <w:kern w:val="0"/>
                <w:szCs w:val="22"/>
                <w14:ligatures w14:val="none"/>
              </w:rPr>
              <w:t>Total Budget</w:t>
            </w:r>
            <w:r>
              <w:rPr>
                <w:rFonts w:ascii="Aptos" w:hAnsi="Aptos" w:eastAsia="Calibri" w:cs="Calibri"/>
                <w:kern w:val="0"/>
                <w:szCs w:val="22"/>
                <w14:ligatures w14:val="none"/>
              </w:rPr>
              <w:t xml:space="preserve">: $282,131.68; </w:t>
            </w:r>
            <w:r>
              <w:rPr>
                <w:rFonts w:ascii="Aptos" w:hAnsi="Aptos" w:eastAsia="Calibri" w:cs="Calibri"/>
                <w:b/>
                <w:bCs/>
                <w:kern w:val="0"/>
                <w:szCs w:val="22"/>
                <w14:ligatures w14:val="none"/>
              </w:rPr>
              <w:t xml:space="preserve">Expenditure (as of August 2026) </w:t>
            </w:r>
            <w:r>
              <w:rPr>
                <w:rFonts w:ascii="Aptos" w:hAnsi="Aptos" w:eastAsia="Calibri" w:cs="Calibri"/>
                <w:kern w:val="0"/>
                <w:szCs w:val="22"/>
                <w14:ligatures w14:val="none"/>
              </w:rPr>
              <w:t>: $228,785</w:t>
            </w:r>
          </w:p>
        </w:tc>
      </w:tr>
      <w:tr w14:paraId="6B551BB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610" w:type="dxa"/>
          </w:tcPr>
          <w:p w14:paraId="47A04B45">
            <w:pPr>
              <w:spacing w:after="0" w:line="259" w:lineRule="auto"/>
              <w:rPr>
                <w:rFonts w:ascii="Aptos" w:hAnsi="Aptos" w:eastAsia="Calibri" w:cs="Calibri"/>
                <w:b/>
                <w:kern w:val="0"/>
                <w:szCs w:val="22"/>
                <w14:ligatures w14:val="none"/>
              </w:rPr>
            </w:pPr>
            <w:r>
              <w:rPr>
                <w:rFonts w:ascii="Aptos" w:hAnsi="Aptos" w:eastAsia="Calibri" w:cs="Calibri"/>
                <w:b/>
                <w:kern w:val="0"/>
                <w:szCs w:val="22"/>
                <w14:ligatures w14:val="none"/>
              </w:rPr>
              <w:t xml:space="preserve">Geographical areas </w:t>
            </w:r>
          </w:p>
        </w:tc>
        <w:tc>
          <w:tcPr>
            <w:tcW w:w="6570" w:type="dxa"/>
          </w:tcPr>
          <w:p w14:paraId="6B74650A">
            <w:pPr>
              <w:spacing w:after="0" w:line="259" w:lineRule="auto"/>
              <w:rPr>
                <w:rFonts w:ascii="Aptos" w:hAnsi="Aptos" w:eastAsia="Calibri" w:cs="Calibri"/>
                <w:kern w:val="0"/>
                <w:szCs w:val="22"/>
                <w14:ligatures w14:val="none"/>
              </w:rPr>
            </w:pPr>
            <w:r>
              <w:rPr>
                <w:rFonts w:ascii="Aptos" w:hAnsi="Aptos" w:eastAsia="Calibri" w:cs="Calibri"/>
                <w:kern w:val="0"/>
                <w:szCs w:val="22"/>
                <w14:ligatures w14:val="none"/>
              </w:rPr>
              <w:t xml:space="preserve">10 project municipalities in Serbia </w:t>
            </w:r>
            <w:r>
              <w:rPr>
                <w:rFonts w:cs="Calibri"/>
                <w:b/>
                <w:szCs w:val="22"/>
              </w:rPr>
              <w:t>(Bujanovac, Kostolac, Kragujevac, Kruševac, Leskovac, Mirijevo, Pirot, Voždovac, Vranje, Žabalj)</w:t>
            </w:r>
          </w:p>
        </w:tc>
      </w:tr>
      <w:tr w14:paraId="1199505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610" w:type="dxa"/>
          </w:tcPr>
          <w:p w14:paraId="3B14B7F6">
            <w:pPr>
              <w:spacing w:after="0" w:line="259" w:lineRule="auto"/>
              <w:rPr>
                <w:rFonts w:ascii="Aptos" w:hAnsi="Aptos" w:eastAsia="Calibri" w:cs="Calibri"/>
                <w:b/>
                <w:kern w:val="0"/>
                <w:szCs w:val="22"/>
                <w14:ligatures w14:val="none"/>
              </w:rPr>
            </w:pPr>
            <w:r>
              <w:rPr>
                <w:rFonts w:ascii="Aptos" w:hAnsi="Aptos" w:eastAsia="Calibri" w:cs="Calibri"/>
                <w:b/>
                <w:kern w:val="0"/>
                <w:szCs w:val="22"/>
                <w14:ligatures w14:val="none"/>
              </w:rPr>
              <w:t>Specific forms of violence addressed by the project</w:t>
            </w:r>
          </w:p>
        </w:tc>
        <w:tc>
          <w:tcPr>
            <w:tcW w:w="6570" w:type="dxa"/>
          </w:tcPr>
          <w:p w14:paraId="24E21DAE">
            <w:pPr>
              <w:spacing w:after="0" w:line="259" w:lineRule="auto"/>
              <w:rPr>
                <w:rFonts w:ascii="Aptos" w:hAnsi="Aptos" w:eastAsia="Calibri" w:cs="Calibri"/>
                <w:kern w:val="0"/>
                <w:szCs w:val="22"/>
                <w14:ligatures w14:val="none"/>
              </w:rPr>
            </w:pPr>
            <w:r>
              <w:rPr>
                <w:rFonts w:ascii="Aptos" w:hAnsi="Aptos" w:eastAsia="Calibri" w:cs="Calibri"/>
                <w:kern w:val="0"/>
                <w:szCs w:val="22"/>
                <w14:ligatures w14:val="none"/>
              </w:rPr>
              <w:t>Early, forced and child marriages</w:t>
            </w:r>
          </w:p>
        </w:tc>
      </w:tr>
      <w:tr w14:paraId="002C1BD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610" w:type="dxa"/>
          </w:tcPr>
          <w:p w14:paraId="41ACC372">
            <w:pPr>
              <w:spacing w:after="0" w:line="259" w:lineRule="auto"/>
              <w:rPr>
                <w:rFonts w:ascii="Aptos" w:hAnsi="Aptos" w:eastAsia="Calibri" w:cs="Calibri"/>
                <w:b/>
                <w:kern w:val="0"/>
                <w:szCs w:val="22"/>
                <w14:ligatures w14:val="none"/>
              </w:rPr>
            </w:pPr>
            <w:r>
              <w:rPr>
                <w:rFonts w:ascii="Aptos" w:hAnsi="Aptos" w:eastAsia="Calibri" w:cs="Calibri"/>
                <w:b/>
                <w:kern w:val="0"/>
                <w:szCs w:val="22"/>
                <w14:ligatures w14:val="none"/>
              </w:rPr>
              <w:t>Main objectives of the project</w:t>
            </w:r>
          </w:p>
        </w:tc>
        <w:tc>
          <w:tcPr>
            <w:tcW w:w="6570" w:type="dxa"/>
          </w:tcPr>
          <w:p w14:paraId="29A19C25">
            <w:pPr>
              <w:pStyle w:val="44"/>
              <w:numPr>
                <w:ilvl w:val="0"/>
                <w:numId w:val="3"/>
              </w:numPr>
              <w:spacing w:after="0" w:line="259" w:lineRule="auto"/>
              <w:jc w:val="both"/>
              <w:rPr>
                <w:rFonts w:ascii="Aptos" w:hAnsi="Aptos" w:eastAsia="Calibri" w:cs="Calibri"/>
                <w:kern w:val="0"/>
                <w:szCs w:val="22"/>
                <w14:ligatures w14:val="none"/>
              </w:rPr>
            </w:pPr>
            <w:r>
              <w:rPr>
                <w:rFonts w:ascii="Aptos" w:hAnsi="Aptos" w:eastAsia="Calibri" w:cs="Calibri"/>
                <w:kern w:val="0"/>
                <w:szCs w:val="22"/>
                <w14:ligatures w14:val="none"/>
              </w:rPr>
              <w:t xml:space="preserve">Reduce the acceptance of child marriage within the Roma community in 10 project municipalities. </w:t>
            </w:r>
          </w:p>
          <w:p w14:paraId="326FFBB1">
            <w:pPr>
              <w:pStyle w:val="44"/>
              <w:numPr>
                <w:ilvl w:val="0"/>
                <w:numId w:val="3"/>
              </w:numPr>
              <w:spacing w:after="0" w:line="259" w:lineRule="auto"/>
              <w:jc w:val="both"/>
              <w:rPr>
                <w:rFonts w:ascii="Aptos" w:hAnsi="Aptos" w:eastAsia="Calibri" w:cs="Calibri"/>
                <w:kern w:val="0"/>
                <w:szCs w:val="22"/>
                <w14:ligatures w14:val="none"/>
              </w:rPr>
            </w:pPr>
            <w:r>
              <w:rPr>
                <w:rFonts w:ascii="Aptos" w:hAnsi="Aptos" w:eastAsia="Calibri" w:cs="Calibri"/>
                <w:kern w:val="0"/>
                <w:szCs w:val="22"/>
                <w14:ligatures w14:val="none"/>
              </w:rPr>
              <w:t>Empower adolescent Roma girls in 10 project municipalities to express and exercise their choices.</w:t>
            </w:r>
          </w:p>
          <w:p w14:paraId="11F534A8">
            <w:pPr>
              <w:pStyle w:val="44"/>
              <w:numPr>
                <w:ilvl w:val="0"/>
                <w:numId w:val="3"/>
              </w:numPr>
              <w:spacing w:after="0" w:line="259" w:lineRule="auto"/>
              <w:jc w:val="both"/>
              <w:rPr>
                <w:rFonts w:ascii="Aptos" w:hAnsi="Aptos" w:eastAsia="Calibri" w:cs="Calibri"/>
                <w:kern w:val="0"/>
                <w:szCs w:val="22"/>
                <w14:ligatures w14:val="none"/>
              </w:rPr>
            </w:pPr>
            <w:r>
              <w:rPr>
                <w:rFonts w:ascii="Aptos" w:hAnsi="Aptos" w:eastAsia="Calibri" w:cs="Calibri"/>
                <w:kern w:val="0"/>
                <w:szCs w:val="22"/>
                <w14:ligatures w14:val="none"/>
              </w:rPr>
              <w:t xml:space="preserve">Raise awareness in the Roma community in 10 project municipalities on the harmful consequences of child marriage on adolscent Roma girls’ lives and livelihood. </w:t>
            </w:r>
          </w:p>
          <w:p w14:paraId="452F7B34">
            <w:pPr>
              <w:pStyle w:val="44"/>
              <w:numPr>
                <w:ilvl w:val="0"/>
                <w:numId w:val="3"/>
              </w:numPr>
              <w:spacing w:after="0" w:line="259" w:lineRule="auto"/>
              <w:jc w:val="both"/>
              <w:rPr>
                <w:rFonts w:ascii="Aptos" w:hAnsi="Aptos" w:eastAsia="Calibri" w:cs="Calibri"/>
                <w:kern w:val="0"/>
                <w:szCs w:val="22"/>
                <w14:ligatures w14:val="none"/>
              </w:rPr>
            </w:pPr>
            <w:r>
              <w:rPr>
                <w:rFonts w:ascii="Aptos" w:hAnsi="Aptos" w:eastAsia="Calibri" w:cs="Calibri"/>
                <w:kern w:val="0"/>
                <w:szCs w:val="22"/>
                <w14:ligatures w14:val="none"/>
              </w:rPr>
              <w:t xml:space="preserve">Protect the human rights of Roma girls. </w:t>
            </w:r>
          </w:p>
          <w:p w14:paraId="699F656C">
            <w:pPr>
              <w:pStyle w:val="44"/>
              <w:numPr>
                <w:ilvl w:val="0"/>
                <w:numId w:val="3"/>
              </w:numPr>
              <w:spacing w:after="0" w:line="259" w:lineRule="auto"/>
              <w:jc w:val="both"/>
              <w:rPr>
                <w:rFonts w:ascii="Aptos" w:hAnsi="Aptos" w:eastAsia="Calibri" w:cs="Calibri"/>
                <w:kern w:val="0"/>
                <w:szCs w:val="22"/>
                <w14:ligatures w14:val="none"/>
              </w:rPr>
            </w:pPr>
            <w:r>
              <w:rPr>
                <w:rFonts w:ascii="Aptos" w:hAnsi="Aptos" w:eastAsia="Calibri" w:cs="Calibri"/>
                <w:kern w:val="0"/>
                <w:szCs w:val="22"/>
                <w14:ligatures w14:val="none"/>
              </w:rPr>
              <w:t> Equip Roma women activists with skills to work with municipal systems, identify areas of influence, and effectively use available resources.</w:t>
            </w:r>
          </w:p>
          <w:p w14:paraId="1BD2C714">
            <w:pPr>
              <w:pStyle w:val="44"/>
              <w:numPr>
                <w:ilvl w:val="0"/>
                <w:numId w:val="3"/>
              </w:numPr>
              <w:spacing w:after="0" w:line="259" w:lineRule="auto"/>
              <w:jc w:val="both"/>
              <w:rPr>
                <w:rFonts w:ascii="Aptos" w:hAnsi="Aptos" w:eastAsia="Calibri" w:cs="Calibri"/>
                <w:kern w:val="0"/>
                <w:szCs w:val="22"/>
                <w14:ligatures w14:val="none"/>
              </w:rPr>
            </w:pPr>
            <w:r>
              <w:rPr>
                <w:rFonts w:ascii="Aptos" w:hAnsi="Aptos" w:eastAsia="Calibri" w:cs="Calibri"/>
                <w:kern w:val="0"/>
                <w:szCs w:val="22"/>
                <w14:ligatures w14:val="none"/>
              </w:rPr>
              <w:t>Sensitise local institutional actors to apply a multi-sector approach in addressing the causes and consequences of child marriage.</w:t>
            </w:r>
          </w:p>
        </w:tc>
      </w:tr>
      <w:tr w14:paraId="6EB5A03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610" w:type="dxa"/>
          </w:tcPr>
          <w:p w14:paraId="3735BFB5">
            <w:pPr>
              <w:spacing w:after="0" w:line="259" w:lineRule="auto"/>
              <w:rPr>
                <w:rFonts w:ascii="Aptos" w:hAnsi="Aptos" w:eastAsia="Calibri" w:cs="Calibri"/>
                <w:b/>
                <w:bCs/>
                <w:kern w:val="0"/>
                <w:szCs w:val="22"/>
                <w14:ligatures w14:val="none"/>
              </w:rPr>
            </w:pPr>
            <w:r>
              <w:rPr>
                <w:rFonts w:ascii="Aptos" w:hAnsi="Aptos" w:eastAsia="Calibri" w:cs="Calibri"/>
                <w:b/>
                <w:bCs/>
                <w:kern w:val="0"/>
                <w:szCs w:val="22"/>
                <w14:ligatures w14:val="none"/>
              </w:rPr>
              <w:t>Key assumptions of the project</w:t>
            </w:r>
          </w:p>
        </w:tc>
        <w:tc>
          <w:tcPr>
            <w:tcW w:w="6570" w:type="dxa"/>
          </w:tcPr>
          <w:p w14:paraId="4AE91041">
            <w:pPr>
              <w:pStyle w:val="44"/>
              <w:numPr>
                <w:ilvl w:val="0"/>
                <w:numId w:val="4"/>
              </w:numPr>
              <w:spacing w:after="0" w:line="259" w:lineRule="auto"/>
              <w:jc w:val="both"/>
              <w:rPr>
                <w:rFonts w:ascii="Aptos" w:hAnsi="Aptos" w:eastAsia="Calibri" w:cs="Calibri"/>
                <w:kern w:val="0"/>
                <w:szCs w:val="22"/>
                <w14:ligatures w14:val="none"/>
              </w:rPr>
            </w:pPr>
            <w:r>
              <w:rPr>
                <w:rFonts w:ascii="Aptos" w:hAnsi="Aptos" w:eastAsia="Calibri" w:cs="Calibri"/>
                <w:kern w:val="0"/>
                <w:szCs w:val="22"/>
                <w14:ligatures w14:val="none"/>
              </w:rPr>
              <w:t>Adolescent Roma girls in 10 project municipalities lack confidence and negotiation skills to exercise their choice.</w:t>
            </w:r>
          </w:p>
          <w:p w14:paraId="57EF8ABD">
            <w:pPr>
              <w:pStyle w:val="44"/>
              <w:numPr>
                <w:ilvl w:val="0"/>
                <w:numId w:val="4"/>
              </w:numPr>
              <w:spacing w:after="0" w:line="259" w:lineRule="auto"/>
              <w:jc w:val="both"/>
              <w:rPr>
                <w:rFonts w:ascii="Aptos" w:hAnsi="Aptos" w:eastAsia="Calibri" w:cs="Calibri"/>
                <w:kern w:val="0"/>
                <w:szCs w:val="22"/>
                <w14:ligatures w14:val="none"/>
              </w:rPr>
            </w:pPr>
            <w:r>
              <w:rPr>
                <w:rFonts w:ascii="Aptos" w:hAnsi="Aptos" w:eastAsia="Calibri" w:cs="Calibri"/>
                <w:kern w:val="0"/>
                <w:szCs w:val="22"/>
                <w14:ligatures w14:val="none"/>
              </w:rPr>
              <w:t>Members of the Roma community will resist participating in awareness-raising discussions.</w:t>
            </w:r>
          </w:p>
          <w:p w14:paraId="6761DA6B">
            <w:pPr>
              <w:pStyle w:val="44"/>
              <w:numPr>
                <w:ilvl w:val="0"/>
                <w:numId w:val="4"/>
              </w:numPr>
              <w:spacing w:after="0" w:line="259" w:lineRule="auto"/>
              <w:jc w:val="both"/>
              <w:rPr>
                <w:rFonts w:ascii="Aptos" w:hAnsi="Aptos" w:eastAsia="Calibri" w:cs="Calibri"/>
                <w:kern w:val="0"/>
                <w:szCs w:val="22"/>
                <w14:ligatures w14:val="none"/>
              </w:rPr>
            </w:pPr>
            <w:r>
              <w:rPr>
                <w:rFonts w:ascii="Aptos" w:hAnsi="Aptos" w:eastAsia="Calibri" w:cs="Calibri"/>
                <w:kern w:val="0"/>
                <w:szCs w:val="22"/>
                <w14:ligatures w14:val="none"/>
              </w:rPr>
              <w:t>Roma women activists have the potential to successfully function as facilitators, advocates, and trusted actors within their local communities.</w:t>
            </w:r>
          </w:p>
          <w:p w14:paraId="6588824B">
            <w:pPr>
              <w:pStyle w:val="44"/>
              <w:numPr>
                <w:ilvl w:val="0"/>
                <w:numId w:val="4"/>
              </w:numPr>
              <w:spacing w:after="0" w:line="259" w:lineRule="auto"/>
              <w:jc w:val="both"/>
              <w:rPr>
                <w:rFonts w:ascii="Aptos" w:hAnsi="Aptos" w:eastAsia="Calibri" w:cs="Calibri"/>
                <w:kern w:val="0"/>
                <w:szCs w:val="22"/>
                <w14:ligatures w14:val="none"/>
              </w:rPr>
            </w:pPr>
            <w:r>
              <w:rPr>
                <w:rFonts w:ascii="Aptos" w:hAnsi="Aptos" w:eastAsia="Calibri" w:cs="Calibri"/>
                <w:kern w:val="0"/>
                <w:szCs w:val="22"/>
                <w14:ligatures w14:val="none"/>
              </w:rPr>
              <w:t>Local institutions are willing to cooperate with civil society organisation to strengthen their response to reported cases of child marriage.</w:t>
            </w:r>
          </w:p>
          <w:p w14:paraId="07B596C4">
            <w:pPr>
              <w:pStyle w:val="44"/>
              <w:numPr>
                <w:ilvl w:val="0"/>
                <w:numId w:val="4"/>
              </w:numPr>
              <w:spacing w:after="0" w:line="259" w:lineRule="auto"/>
              <w:jc w:val="both"/>
              <w:rPr>
                <w:rFonts w:ascii="Aptos" w:hAnsi="Aptos" w:eastAsia="Calibri" w:cs="Calibri"/>
                <w:kern w:val="0"/>
                <w:szCs w:val="22"/>
                <w14:ligatures w14:val="none"/>
              </w:rPr>
            </w:pPr>
            <w:r>
              <w:rPr>
                <w:rFonts w:ascii="Aptos" w:hAnsi="Aptos" w:eastAsia="Calibri" w:cs="Calibri"/>
                <w:kern w:val="0"/>
                <w:szCs w:val="22"/>
                <w14:ligatures w14:val="none"/>
              </w:rPr>
              <w:t>Lack of will from certain institutions to recognise child marriage as a child protection rights issue rather than solely a cultural practice.</w:t>
            </w:r>
          </w:p>
          <w:p w14:paraId="24331360">
            <w:pPr>
              <w:pStyle w:val="44"/>
              <w:numPr>
                <w:ilvl w:val="0"/>
                <w:numId w:val="4"/>
              </w:numPr>
              <w:spacing w:after="0" w:line="259" w:lineRule="auto"/>
              <w:jc w:val="both"/>
              <w:rPr>
                <w:rFonts w:ascii="Aptos" w:hAnsi="Aptos" w:eastAsia="Calibri" w:cs="Calibri"/>
                <w:kern w:val="0"/>
                <w:szCs w:val="22"/>
                <w14:ligatures w14:val="none"/>
              </w:rPr>
            </w:pPr>
            <w:r>
              <w:rPr>
                <w:rFonts w:ascii="Aptos" w:hAnsi="Aptos" w:eastAsia="Calibri" w:cs="Calibri"/>
                <w:kern w:val="0"/>
                <w:szCs w:val="22"/>
                <w14:ligatures w14:val="none"/>
              </w:rPr>
              <w:t>Community attitudes and gender norms can be gradually changed through long-term, regular engagement and education.</w:t>
            </w:r>
          </w:p>
          <w:p w14:paraId="2408551B">
            <w:pPr>
              <w:pStyle w:val="44"/>
              <w:numPr>
                <w:ilvl w:val="0"/>
                <w:numId w:val="4"/>
              </w:numPr>
              <w:spacing w:after="0" w:line="259" w:lineRule="auto"/>
              <w:jc w:val="both"/>
              <w:rPr>
                <w:rFonts w:ascii="Aptos" w:hAnsi="Aptos" w:eastAsia="Calibri" w:cs="Calibri"/>
                <w:kern w:val="0"/>
                <w:szCs w:val="22"/>
                <w14:ligatures w14:val="none"/>
              </w:rPr>
            </w:pPr>
            <w:r>
              <w:rPr>
                <w:rFonts w:ascii="Aptos" w:hAnsi="Aptos" w:eastAsia="Calibri" w:cs="Calibri"/>
                <w:kern w:val="0"/>
                <w:szCs w:val="22"/>
                <w14:ligatures w14:val="none"/>
              </w:rPr>
              <w:t>No major social, economic, or political crises in the country will significantly reduce capacities to act and/or participate during project implementation.</w:t>
            </w:r>
          </w:p>
        </w:tc>
      </w:tr>
      <w:tr w14:paraId="69D3F4B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610" w:type="dxa"/>
          </w:tcPr>
          <w:p w14:paraId="48D00252">
            <w:pPr>
              <w:spacing w:after="0" w:line="259" w:lineRule="auto"/>
              <w:rPr>
                <w:rFonts w:ascii="Aptos" w:hAnsi="Aptos" w:eastAsia="Calibri" w:cs="Calibri"/>
                <w:b/>
                <w:kern w:val="0"/>
                <w:szCs w:val="22"/>
                <w14:ligatures w14:val="none"/>
              </w:rPr>
            </w:pPr>
            <w:r>
              <w:rPr>
                <w:rFonts w:ascii="Aptos" w:hAnsi="Aptos" w:eastAsia="Calibri" w:cs="Calibri"/>
                <w:b/>
                <w:kern w:val="0"/>
                <w:szCs w:val="22"/>
                <w14:ligatures w14:val="none"/>
              </w:rPr>
              <w:t>Planned and achieved number of primary and secondary beneficiaries</w:t>
            </w:r>
          </w:p>
        </w:tc>
        <w:tc>
          <w:tcPr>
            <w:tcW w:w="6570" w:type="dxa"/>
          </w:tcPr>
          <w:p w14:paraId="5F646AE9">
            <w:pPr>
              <w:spacing w:after="0" w:line="259" w:lineRule="auto"/>
              <w:jc w:val="both"/>
              <w:rPr>
                <w:rFonts w:ascii="Aptos" w:hAnsi="Aptos" w:eastAsia="Calibri" w:cs="Calibri"/>
                <w:kern w:val="0"/>
                <w:szCs w:val="22"/>
                <w14:ligatures w14:val="none"/>
              </w:rPr>
            </w:pPr>
            <w:r>
              <w:rPr>
                <w:rFonts w:ascii="Aptos" w:hAnsi="Aptos" w:eastAsia="Calibri" w:cs="Calibri"/>
                <w:kern w:val="0"/>
                <w:szCs w:val="22"/>
                <w14:ligatures w14:val="none"/>
              </w:rPr>
              <w:t xml:space="preserve">The figures in the </w:t>
            </w:r>
            <w:r>
              <w:rPr>
                <w:rFonts w:ascii="Aptos" w:hAnsi="Aptos" w:eastAsia="Calibri" w:cs="Calibri"/>
                <w:kern w:val="0"/>
                <w:szCs w:val="22"/>
                <w:lang w:val="en-US"/>
                <w14:ligatures w14:val="none"/>
              </w:rPr>
              <w:t xml:space="preserve">“Achieved number” column </w:t>
            </w:r>
            <w:r>
              <w:rPr>
                <w:rFonts w:ascii="Aptos" w:hAnsi="Aptos" w:eastAsia="Calibri" w:cs="Calibri"/>
                <w:kern w:val="0"/>
                <w:szCs w:val="22"/>
                <w14:ligatures w14:val="none"/>
              </w:rPr>
              <w:t xml:space="preserve">listed below represent a forecast based on impact recorded during previous project years, as well as this year’s dynamics of activity implementation. The project is ongoing, and the actual figures will be available by the end of the project. </w:t>
            </w:r>
          </w:p>
          <w:p w14:paraId="5317C9D7">
            <w:pPr>
              <w:spacing w:after="0" w:line="259" w:lineRule="auto"/>
              <w:jc w:val="both"/>
              <w:rPr>
                <w:rFonts w:ascii="Aptos" w:hAnsi="Aptos" w:eastAsia="Calibri" w:cs="Calibri"/>
                <w:kern w:val="0"/>
                <w:szCs w:val="22"/>
                <w14:ligatures w14:val="none"/>
              </w:rPr>
            </w:pPr>
          </w:p>
          <w:tbl>
            <w:tblPr>
              <w:tblStyle w:val="2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227"/>
              <w:gridCol w:w="2002"/>
              <w:gridCol w:w="2115"/>
            </w:tblGrid>
            <w:tr w14:paraId="34B7C0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27" w:type="dxa"/>
                  <w:shd w:val="clear" w:color="auto" w:fill="DA11B1" w:themeFill="accent2" w:themeFillShade="80"/>
                </w:tcPr>
                <w:p w14:paraId="48166CF9">
                  <w:pPr>
                    <w:spacing w:after="0" w:line="259" w:lineRule="auto"/>
                    <w:jc w:val="center"/>
                    <w:rPr>
                      <w:rFonts w:ascii="Aptos" w:hAnsi="Aptos" w:eastAsia="Calibri" w:cs="Calibri"/>
                      <w:kern w:val="0"/>
                      <w:szCs w:val="22"/>
                      <w14:ligatures w14:val="none"/>
                    </w:rPr>
                  </w:pPr>
                  <w:r>
                    <w:rPr>
                      <w:rFonts w:ascii="Aptos" w:hAnsi="Aptos" w:eastAsia="Calibri" w:cs="Calibri"/>
                      <w:kern w:val="0"/>
                      <w:szCs w:val="22"/>
                      <w14:ligatures w14:val="none"/>
                    </w:rPr>
                    <w:t>Primary Beneficiaries</w:t>
                  </w:r>
                </w:p>
              </w:tc>
              <w:tc>
                <w:tcPr>
                  <w:tcW w:w="2002" w:type="dxa"/>
                  <w:shd w:val="clear" w:color="auto" w:fill="DA11B1" w:themeFill="accent2" w:themeFillShade="80"/>
                </w:tcPr>
                <w:p w14:paraId="1F5F700A">
                  <w:pPr>
                    <w:spacing w:after="0" w:line="259" w:lineRule="auto"/>
                    <w:jc w:val="center"/>
                    <w:rPr>
                      <w:rFonts w:ascii="Aptos" w:hAnsi="Aptos" w:eastAsia="Calibri" w:cs="Calibri"/>
                      <w:kern w:val="0"/>
                      <w:szCs w:val="22"/>
                      <w14:ligatures w14:val="none"/>
                    </w:rPr>
                  </w:pPr>
                  <w:r>
                    <w:rPr>
                      <w:rFonts w:ascii="Aptos" w:hAnsi="Aptos" w:eastAsia="Calibri" w:cs="Calibri"/>
                      <w:kern w:val="0"/>
                      <w:szCs w:val="22"/>
                      <w14:ligatures w14:val="none"/>
                    </w:rPr>
                    <w:t>Planned number</w:t>
                  </w:r>
                </w:p>
              </w:tc>
              <w:tc>
                <w:tcPr>
                  <w:tcW w:w="2115" w:type="dxa"/>
                  <w:shd w:val="clear" w:color="auto" w:fill="DA11B1" w:themeFill="accent2" w:themeFillShade="80"/>
                </w:tcPr>
                <w:p w14:paraId="2B59F278">
                  <w:pPr>
                    <w:spacing w:after="0" w:line="259" w:lineRule="auto"/>
                    <w:jc w:val="center"/>
                    <w:rPr>
                      <w:rFonts w:ascii="Aptos" w:hAnsi="Aptos" w:eastAsia="Calibri" w:cs="Calibri"/>
                      <w:kern w:val="0"/>
                      <w:szCs w:val="22"/>
                      <w14:ligatures w14:val="none"/>
                    </w:rPr>
                  </w:pPr>
                  <w:r>
                    <w:rPr>
                      <w:rFonts w:ascii="Aptos" w:hAnsi="Aptos" w:eastAsia="Calibri" w:cs="Calibri"/>
                      <w:kern w:val="0"/>
                      <w:szCs w:val="22"/>
                      <w14:ligatures w14:val="none"/>
                    </w:rPr>
                    <w:t>Achieved number</w:t>
                  </w:r>
                </w:p>
              </w:tc>
            </w:tr>
            <w:tr w14:paraId="754759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27" w:type="dxa"/>
                </w:tcPr>
                <w:p w14:paraId="085A5573">
                  <w:pPr>
                    <w:spacing w:after="0" w:line="259" w:lineRule="auto"/>
                    <w:rPr>
                      <w:rFonts w:ascii="Aptos" w:hAnsi="Aptos" w:eastAsia="Calibri" w:cs="Calibri"/>
                      <w:kern w:val="0"/>
                      <w:szCs w:val="22"/>
                      <w14:ligatures w14:val="none"/>
                    </w:rPr>
                  </w:pPr>
                  <w:r>
                    <w:rPr>
                      <w:rFonts w:ascii="Aptos" w:hAnsi="Aptos" w:eastAsia="Calibri" w:cs="Calibri"/>
                      <w:kern w:val="0"/>
                      <w:szCs w:val="22"/>
                      <w14:ligatures w14:val="none"/>
                    </w:rPr>
                    <w:t>Women and girls in general</w:t>
                  </w:r>
                </w:p>
              </w:tc>
              <w:tc>
                <w:tcPr>
                  <w:tcW w:w="2002" w:type="dxa"/>
                </w:tcPr>
                <w:p w14:paraId="0C8CC4B8">
                  <w:pPr>
                    <w:spacing w:after="0" w:line="259" w:lineRule="auto"/>
                    <w:jc w:val="center"/>
                    <w:rPr>
                      <w:rFonts w:ascii="Aptos" w:hAnsi="Aptos" w:eastAsia="Calibri" w:cs="Calibri"/>
                      <w:b/>
                      <w:bCs/>
                      <w:kern w:val="0"/>
                      <w:szCs w:val="22"/>
                      <w14:ligatures w14:val="none"/>
                    </w:rPr>
                  </w:pPr>
                  <w:r>
                    <w:rPr>
                      <w:rFonts w:ascii="Aptos" w:hAnsi="Aptos" w:eastAsia="Calibri" w:cs="Calibri"/>
                      <w:b/>
                      <w:bCs/>
                      <w:kern w:val="0"/>
                      <w:szCs w:val="22"/>
                      <w14:ligatures w14:val="none"/>
                    </w:rPr>
                    <w:t>2,100</w:t>
                  </w:r>
                </w:p>
              </w:tc>
              <w:tc>
                <w:tcPr>
                  <w:tcW w:w="2115" w:type="dxa"/>
                </w:tcPr>
                <w:p w14:paraId="0F637334">
                  <w:pPr>
                    <w:spacing w:after="0" w:line="259" w:lineRule="auto"/>
                    <w:jc w:val="center"/>
                    <w:rPr>
                      <w:rFonts w:ascii="Aptos" w:hAnsi="Aptos" w:eastAsia="Calibri" w:cs="Calibri"/>
                      <w:b/>
                      <w:bCs/>
                      <w:kern w:val="0"/>
                      <w:szCs w:val="22"/>
                      <w14:ligatures w14:val="none"/>
                    </w:rPr>
                  </w:pPr>
                  <w:r>
                    <w:rPr>
                      <w:rFonts w:ascii="Aptos" w:hAnsi="Aptos" w:eastAsia="Calibri" w:cs="Calibri"/>
                      <w:b/>
                      <w:bCs/>
                      <w:kern w:val="0"/>
                      <w:szCs w:val="22"/>
                      <w14:ligatures w14:val="none"/>
                    </w:rPr>
                    <w:t>2,150</w:t>
                  </w:r>
                </w:p>
              </w:tc>
            </w:tr>
            <w:tr w14:paraId="1E9E6A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27" w:type="dxa"/>
                </w:tcPr>
                <w:p w14:paraId="4D4AD5A5">
                  <w:pPr>
                    <w:spacing w:after="0" w:line="259" w:lineRule="auto"/>
                    <w:rPr>
                      <w:rFonts w:ascii="Aptos" w:hAnsi="Aptos" w:eastAsia="Calibri" w:cs="Calibri"/>
                      <w:kern w:val="0"/>
                      <w:szCs w:val="22"/>
                      <w14:ligatures w14:val="none"/>
                    </w:rPr>
                  </w:pPr>
                  <w:r>
                    <w:rPr>
                      <w:rFonts w:ascii="Aptos" w:hAnsi="Aptos" w:eastAsia="Calibri" w:cs="Calibri"/>
                      <w:kern w:val="0"/>
                      <w:szCs w:val="22"/>
                      <w14:ligatures w14:val="none"/>
                    </w:rPr>
                    <w:t>Women/girls from minority ethnic groups</w:t>
                  </w:r>
                </w:p>
              </w:tc>
              <w:tc>
                <w:tcPr>
                  <w:tcW w:w="2002" w:type="dxa"/>
                </w:tcPr>
                <w:p w14:paraId="4AF2EC17">
                  <w:pPr>
                    <w:spacing w:after="0" w:line="259" w:lineRule="auto"/>
                    <w:jc w:val="center"/>
                    <w:rPr>
                      <w:rFonts w:ascii="Aptos" w:hAnsi="Aptos" w:eastAsia="Calibri" w:cs="Calibri"/>
                      <w:b/>
                      <w:bCs/>
                      <w:kern w:val="0"/>
                      <w:szCs w:val="22"/>
                      <w14:ligatures w14:val="none"/>
                    </w:rPr>
                  </w:pPr>
                  <w:r>
                    <w:rPr>
                      <w:rFonts w:ascii="Aptos" w:hAnsi="Aptos" w:eastAsia="Calibri" w:cs="Calibri"/>
                      <w:b/>
                      <w:bCs/>
                      <w:kern w:val="0"/>
                      <w:szCs w:val="22"/>
                      <w14:ligatures w14:val="none"/>
                    </w:rPr>
                    <w:t>1,800</w:t>
                  </w:r>
                </w:p>
              </w:tc>
              <w:tc>
                <w:tcPr>
                  <w:tcW w:w="2115" w:type="dxa"/>
                </w:tcPr>
                <w:p w14:paraId="6457FD54">
                  <w:pPr>
                    <w:spacing w:after="0" w:line="259" w:lineRule="auto"/>
                    <w:jc w:val="center"/>
                    <w:rPr>
                      <w:rFonts w:ascii="Aptos" w:hAnsi="Aptos" w:eastAsia="Calibri" w:cs="Calibri"/>
                      <w:b/>
                      <w:bCs/>
                      <w:kern w:val="0"/>
                      <w:szCs w:val="22"/>
                      <w14:ligatures w14:val="none"/>
                    </w:rPr>
                  </w:pPr>
                  <w:r>
                    <w:rPr>
                      <w:rFonts w:ascii="Aptos" w:hAnsi="Aptos" w:eastAsia="Calibri" w:cs="Calibri"/>
                      <w:b/>
                      <w:bCs/>
                      <w:kern w:val="0"/>
                      <w:szCs w:val="22"/>
                      <w14:ligatures w14:val="none"/>
                    </w:rPr>
                    <w:t>1,900</w:t>
                  </w:r>
                </w:p>
              </w:tc>
            </w:tr>
            <w:tr w14:paraId="2AF05D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27" w:type="dxa"/>
                </w:tcPr>
                <w:p w14:paraId="3E6BEBFC">
                  <w:pPr>
                    <w:spacing w:after="0" w:line="259" w:lineRule="auto"/>
                    <w:rPr>
                      <w:rFonts w:ascii="Aptos" w:hAnsi="Aptos" w:eastAsia="Calibri" w:cs="Calibri"/>
                      <w:kern w:val="0"/>
                      <w:szCs w:val="22"/>
                      <w14:ligatures w14:val="none"/>
                    </w:rPr>
                  </w:pPr>
                  <w:r>
                    <w:rPr>
                      <w:rFonts w:ascii="Aptos" w:hAnsi="Aptos" w:eastAsia="Calibri" w:cs="Calibri"/>
                      <w:kern w:val="0"/>
                      <w:szCs w:val="22"/>
                      <w14:ligatures w14:val="none"/>
                    </w:rPr>
                    <w:t>Women/girls experiencing racial discrimination and/or injustice</w:t>
                  </w:r>
                </w:p>
              </w:tc>
              <w:tc>
                <w:tcPr>
                  <w:tcW w:w="2002" w:type="dxa"/>
                </w:tcPr>
                <w:p w14:paraId="4D49072D">
                  <w:pPr>
                    <w:spacing w:after="0" w:line="259" w:lineRule="auto"/>
                    <w:jc w:val="center"/>
                    <w:rPr>
                      <w:rFonts w:ascii="Aptos" w:hAnsi="Aptos" w:eastAsia="Calibri" w:cs="Calibri"/>
                      <w:b/>
                      <w:bCs/>
                      <w:kern w:val="0"/>
                      <w:szCs w:val="22"/>
                      <w14:ligatures w14:val="none"/>
                    </w:rPr>
                  </w:pPr>
                  <w:r>
                    <w:rPr>
                      <w:rFonts w:ascii="Aptos" w:hAnsi="Aptos" w:eastAsia="Calibri" w:cs="Calibri"/>
                      <w:b/>
                      <w:bCs/>
                      <w:kern w:val="0"/>
                      <w:szCs w:val="22"/>
                      <w14:ligatures w14:val="none"/>
                    </w:rPr>
                    <w:t>1,800</w:t>
                  </w:r>
                </w:p>
              </w:tc>
              <w:tc>
                <w:tcPr>
                  <w:tcW w:w="2115" w:type="dxa"/>
                </w:tcPr>
                <w:p w14:paraId="05A52105">
                  <w:pPr>
                    <w:spacing w:after="0" w:line="259" w:lineRule="auto"/>
                    <w:jc w:val="center"/>
                    <w:rPr>
                      <w:rFonts w:ascii="Aptos" w:hAnsi="Aptos" w:eastAsia="Calibri" w:cs="Calibri"/>
                      <w:b/>
                      <w:bCs/>
                      <w:kern w:val="0"/>
                      <w:szCs w:val="22"/>
                      <w14:ligatures w14:val="none"/>
                    </w:rPr>
                  </w:pPr>
                  <w:r>
                    <w:rPr>
                      <w:rFonts w:ascii="Aptos" w:hAnsi="Aptos" w:eastAsia="Calibri" w:cs="Calibri"/>
                      <w:b/>
                      <w:bCs/>
                      <w:kern w:val="0"/>
                      <w:szCs w:val="22"/>
                      <w14:ligatures w14:val="none"/>
                    </w:rPr>
                    <w:t>1,840</w:t>
                  </w:r>
                </w:p>
              </w:tc>
            </w:tr>
            <w:tr w14:paraId="441F34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27" w:type="dxa"/>
                </w:tcPr>
                <w:p w14:paraId="624D9EBB">
                  <w:pPr>
                    <w:spacing w:after="0" w:line="259" w:lineRule="auto"/>
                    <w:rPr>
                      <w:rFonts w:ascii="Aptos" w:hAnsi="Aptos" w:eastAsia="Calibri" w:cs="Calibri"/>
                      <w:kern w:val="0"/>
                      <w:szCs w:val="22"/>
                      <w14:ligatures w14:val="none"/>
                    </w:rPr>
                  </w:pPr>
                  <w:r>
                    <w:rPr>
                      <w:rFonts w:ascii="Aptos" w:hAnsi="Aptos" w:eastAsia="Calibri" w:cs="Calibri"/>
                      <w:kern w:val="0"/>
                      <w:szCs w:val="22"/>
                      <w14:ligatures w14:val="none"/>
                    </w:rPr>
                    <w:t>Women and girls in the lowest income groups</w:t>
                  </w:r>
                </w:p>
              </w:tc>
              <w:tc>
                <w:tcPr>
                  <w:tcW w:w="2002" w:type="dxa"/>
                </w:tcPr>
                <w:p w14:paraId="56CF55A8">
                  <w:pPr>
                    <w:spacing w:after="0" w:line="259" w:lineRule="auto"/>
                    <w:jc w:val="center"/>
                    <w:rPr>
                      <w:rFonts w:ascii="Aptos" w:hAnsi="Aptos" w:eastAsia="Calibri" w:cs="Calibri"/>
                      <w:b/>
                      <w:bCs/>
                      <w:kern w:val="0"/>
                      <w:szCs w:val="22"/>
                      <w14:ligatures w14:val="none"/>
                    </w:rPr>
                  </w:pPr>
                  <w:r>
                    <w:rPr>
                      <w:rFonts w:ascii="Aptos" w:hAnsi="Aptos" w:eastAsia="Calibri" w:cs="Calibri"/>
                      <w:b/>
                      <w:bCs/>
                      <w:kern w:val="0"/>
                      <w:szCs w:val="22"/>
                      <w14:ligatures w14:val="none"/>
                    </w:rPr>
                    <w:t>1,200</w:t>
                  </w:r>
                </w:p>
              </w:tc>
              <w:tc>
                <w:tcPr>
                  <w:tcW w:w="2115" w:type="dxa"/>
                </w:tcPr>
                <w:p w14:paraId="6B15F32F">
                  <w:pPr>
                    <w:spacing w:after="0" w:line="259" w:lineRule="auto"/>
                    <w:jc w:val="center"/>
                    <w:rPr>
                      <w:rFonts w:ascii="Aptos" w:hAnsi="Aptos" w:eastAsia="Calibri" w:cs="Calibri"/>
                      <w:b/>
                      <w:bCs/>
                      <w:kern w:val="0"/>
                      <w:szCs w:val="22"/>
                      <w14:ligatures w14:val="none"/>
                    </w:rPr>
                  </w:pPr>
                  <w:r>
                    <w:rPr>
                      <w:rFonts w:ascii="Aptos" w:hAnsi="Aptos" w:eastAsia="Calibri" w:cs="Calibri"/>
                      <w:b/>
                      <w:bCs/>
                      <w:kern w:val="0"/>
                      <w:szCs w:val="22"/>
                      <w14:ligatures w14:val="none"/>
                    </w:rPr>
                    <w:t>1,500</w:t>
                  </w:r>
                </w:p>
              </w:tc>
            </w:tr>
            <w:tr w14:paraId="071B29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27" w:type="dxa"/>
                </w:tcPr>
                <w:p w14:paraId="7C20B386">
                  <w:pPr>
                    <w:spacing w:after="0" w:line="259" w:lineRule="auto"/>
                    <w:rPr>
                      <w:rFonts w:ascii="Aptos" w:hAnsi="Aptos" w:eastAsia="Calibri" w:cs="Calibri"/>
                      <w:kern w:val="0"/>
                      <w:szCs w:val="22"/>
                      <w14:ligatures w14:val="none"/>
                    </w:rPr>
                  </w:pPr>
                  <w:r>
                    <w:rPr>
                      <w:rFonts w:ascii="Aptos" w:hAnsi="Aptos" w:eastAsia="Calibri" w:cs="Calibri"/>
                      <w:kern w:val="0"/>
                      <w:szCs w:val="22"/>
                      <w14:ligatures w14:val="none"/>
                    </w:rPr>
                    <w:t>Women human rights defenders/ gender advocates</w:t>
                  </w:r>
                </w:p>
              </w:tc>
              <w:tc>
                <w:tcPr>
                  <w:tcW w:w="2002" w:type="dxa"/>
                </w:tcPr>
                <w:p w14:paraId="0D942973">
                  <w:pPr>
                    <w:spacing w:after="0" w:line="259" w:lineRule="auto"/>
                    <w:jc w:val="center"/>
                    <w:rPr>
                      <w:rFonts w:ascii="Aptos" w:hAnsi="Aptos" w:eastAsia="Calibri" w:cs="Calibri"/>
                      <w:b/>
                      <w:bCs/>
                      <w:kern w:val="0"/>
                      <w:szCs w:val="22"/>
                      <w14:ligatures w14:val="none"/>
                    </w:rPr>
                  </w:pPr>
                  <w:r>
                    <w:rPr>
                      <w:rFonts w:ascii="Aptos" w:hAnsi="Aptos" w:eastAsia="Calibri" w:cs="Calibri"/>
                      <w:b/>
                      <w:bCs/>
                      <w:kern w:val="0"/>
                      <w:szCs w:val="22"/>
                      <w14:ligatures w14:val="none"/>
                    </w:rPr>
                    <w:t>130</w:t>
                  </w:r>
                </w:p>
              </w:tc>
              <w:tc>
                <w:tcPr>
                  <w:tcW w:w="2115" w:type="dxa"/>
                </w:tcPr>
                <w:p w14:paraId="0806C75F">
                  <w:pPr>
                    <w:spacing w:after="0" w:line="259" w:lineRule="auto"/>
                    <w:jc w:val="center"/>
                    <w:rPr>
                      <w:rFonts w:ascii="Aptos" w:hAnsi="Aptos" w:eastAsia="Calibri" w:cs="Calibri"/>
                      <w:b/>
                      <w:bCs/>
                      <w:kern w:val="0"/>
                      <w:szCs w:val="22"/>
                      <w14:ligatures w14:val="none"/>
                    </w:rPr>
                  </w:pPr>
                  <w:r>
                    <w:rPr>
                      <w:rFonts w:ascii="Aptos" w:hAnsi="Aptos" w:eastAsia="Calibri" w:cs="Calibri"/>
                      <w:b/>
                      <w:bCs/>
                      <w:kern w:val="0"/>
                      <w:szCs w:val="22"/>
                      <w14:ligatures w14:val="none"/>
                    </w:rPr>
                    <w:t>115</w:t>
                  </w:r>
                </w:p>
              </w:tc>
            </w:tr>
            <w:tr w14:paraId="02FD77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27" w:type="dxa"/>
                  <w:shd w:val="clear" w:color="auto" w:fill="92D050"/>
                </w:tcPr>
                <w:p w14:paraId="2747D8AC">
                  <w:pPr>
                    <w:spacing w:after="0" w:line="259" w:lineRule="auto"/>
                    <w:rPr>
                      <w:rFonts w:ascii="Aptos" w:hAnsi="Aptos" w:eastAsia="Calibri" w:cs="Calibri"/>
                      <w:kern w:val="0"/>
                      <w:szCs w:val="22"/>
                      <w14:ligatures w14:val="none"/>
                    </w:rPr>
                  </w:pPr>
                  <w:r>
                    <w:rPr>
                      <w:rFonts w:ascii="Aptos" w:hAnsi="Aptos" w:eastAsia="Calibri" w:cs="Calibri"/>
                      <w:kern w:val="0"/>
                      <w:szCs w:val="22"/>
                      <w14:ligatures w14:val="none"/>
                    </w:rPr>
                    <w:t>Total</w:t>
                  </w:r>
                </w:p>
              </w:tc>
              <w:tc>
                <w:tcPr>
                  <w:tcW w:w="2002" w:type="dxa"/>
                  <w:shd w:val="clear" w:color="auto" w:fill="92D050"/>
                </w:tcPr>
                <w:p w14:paraId="0A500A9E">
                  <w:pPr>
                    <w:spacing w:after="0" w:line="259" w:lineRule="auto"/>
                    <w:jc w:val="center"/>
                    <w:rPr>
                      <w:rFonts w:ascii="Aptos" w:hAnsi="Aptos" w:eastAsia="Calibri" w:cs="Calibri"/>
                      <w:b/>
                      <w:bCs/>
                      <w:kern w:val="0"/>
                      <w:szCs w:val="22"/>
                      <w14:ligatures w14:val="none"/>
                    </w:rPr>
                  </w:pPr>
                  <w:r>
                    <w:rPr>
                      <w:rFonts w:ascii="Aptos" w:hAnsi="Aptos" w:eastAsia="Calibri" w:cs="Calibri"/>
                      <w:b/>
                      <w:bCs/>
                      <w:kern w:val="0"/>
                      <w:szCs w:val="22"/>
                      <w14:ligatures w14:val="none"/>
                    </w:rPr>
                    <w:t>7,030</w:t>
                  </w:r>
                </w:p>
              </w:tc>
              <w:tc>
                <w:tcPr>
                  <w:tcW w:w="2115" w:type="dxa"/>
                  <w:shd w:val="clear" w:color="auto" w:fill="92D050"/>
                </w:tcPr>
                <w:p w14:paraId="3BB3FCFE">
                  <w:pPr>
                    <w:spacing w:after="0" w:line="259" w:lineRule="auto"/>
                    <w:jc w:val="center"/>
                    <w:rPr>
                      <w:rFonts w:ascii="Aptos" w:hAnsi="Aptos" w:eastAsia="Calibri" w:cs="Calibri"/>
                      <w:b/>
                      <w:bCs/>
                      <w:kern w:val="0"/>
                      <w:szCs w:val="22"/>
                      <w14:ligatures w14:val="none"/>
                    </w:rPr>
                  </w:pPr>
                  <w:r>
                    <w:rPr>
                      <w:rFonts w:ascii="Aptos" w:hAnsi="Aptos" w:eastAsia="Calibri" w:cs="Calibri"/>
                      <w:b/>
                      <w:bCs/>
                      <w:kern w:val="0"/>
                      <w:szCs w:val="22"/>
                      <w14:ligatures w14:val="none"/>
                    </w:rPr>
                    <w:t>7,505</w:t>
                  </w:r>
                </w:p>
              </w:tc>
            </w:tr>
            <w:tr w14:paraId="70073D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27" w:type="dxa"/>
                  <w:shd w:val="clear" w:color="auto" w:fill="F36BD8" w:themeFill="accent2" w:themeFillShade="BF"/>
                </w:tcPr>
                <w:p w14:paraId="38150BB7">
                  <w:pPr>
                    <w:spacing w:after="0" w:line="259" w:lineRule="auto"/>
                    <w:rPr>
                      <w:rFonts w:ascii="Aptos" w:hAnsi="Aptos" w:eastAsia="Calibri" w:cs="Calibri"/>
                      <w:kern w:val="0"/>
                      <w:szCs w:val="22"/>
                      <w14:ligatures w14:val="none"/>
                    </w:rPr>
                  </w:pPr>
                  <w:r>
                    <w:rPr>
                      <w:rFonts w:ascii="Aptos" w:hAnsi="Aptos" w:eastAsia="Calibri" w:cs="Calibri"/>
                      <w:kern w:val="0"/>
                      <w:szCs w:val="22"/>
                      <w14:ligatures w14:val="none"/>
                    </w:rPr>
                    <w:t>Secondary Beneficiaries</w:t>
                  </w:r>
                </w:p>
              </w:tc>
              <w:tc>
                <w:tcPr>
                  <w:tcW w:w="2002" w:type="dxa"/>
                  <w:shd w:val="clear" w:color="auto" w:fill="F36BD8" w:themeFill="accent2" w:themeFillShade="BF"/>
                </w:tcPr>
                <w:p w14:paraId="1A6F45FF">
                  <w:pPr>
                    <w:spacing w:after="0" w:line="259" w:lineRule="auto"/>
                    <w:jc w:val="center"/>
                    <w:rPr>
                      <w:rFonts w:ascii="Aptos" w:hAnsi="Aptos" w:eastAsia="Calibri" w:cs="Calibri"/>
                      <w:kern w:val="0"/>
                      <w:szCs w:val="22"/>
                      <w14:ligatures w14:val="none"/>
                    </w:rPr>
                  </w:pPr>
                  <w:r>
                    <w:rPr>
                      <w:rFonts w:ascii="Aptos" w:hAnsi="Aptos" w:eastAsia="Calibri" w:cs="Calibri"/>
                      <w:kern w:val="0"/>
                      <w:szCs w:val="22"/>
                      <w14:ligatures w14:val="none"/>
                    </w:rPr>
                    <w:t>Planned number</w:t>
                  </w:r>
                </w:p>
              </w:tc>
              <w:tc>
                <w:tcPr>
                  <w:tcW w:w="2115" w:type="dxa"/>
                  <w:shd w:val="clear" w:color="auto" w:fill="F36BD8" w:themeFill="accent2" w:themeFillShade="BF"/>
                </w:tcPr>
                <w:p w14:paraId="39DD0B4C">
                  <w:pPr>
                    <w:spacing w:after="0" w:line="259" w:lineRule="auto"/>
                    <w:jc w:val="center"/>
                    <w:rPr>
                      <w:rFonts w:ascii="Aptos" w:hAnsi="Aptos" w:eastAsia="Calibri" w:cs="Calibri"/>
                      <w:kern w:val="0"/>
                      <w:szCs w:val="22"/>
                      <w14:ligatures w14:val="none"/>
                    </w:rPr>
                  </w:pPr>
                  <w:r>
                    <w:rPr>
                      <w:rFonts w:ascii="Aptos" w:hAnsi="Aptos" w:eastAsia="Calibri" w:cs="Calibri"/>
                      <w:kern w:val="0"/>
                      <w:szCs w:val="22"/>
                      <w14:ligatures w14:val="none"/>
                    </w:rPr>
                    <w:t>Achieved number</w:t>
                  </w:r>
                </w:p>
              </w:tc>
            </w:tr>
            <w:tr w14:paraId="469E98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27" w:type="dxa"/>
                </w:tcPr>
                <w:p w14:paraId="60C67806">
                  <w:pPr>
                    <w:spacing w:after="0" w:line="259" w:lineRule="auto"/>
                    <w:rPr>
                      <w:rFonts w:ascii="Aptos" w:hAnsi="Aptos" w:eastAsia="Calibri" w:cs="Calibri"/>
                      <w:kern w:val="0"/>
                      <w:szCs w:val="22"/>
                      <w14:ligatures w14:val="none"/>
                    </w:rPr>
                  </w:pPr>
                  <w:r>
                    <w:rPr>
                      <w:rFonts w:ascii="Aptos" w:hAnsi="Aptos" w:eastAsia="Calibri" w:cs="Calibri"/>
                      <w:kern w:val="0"/>
                      <w:szCs w:val="22"/>
                      <w14:ligatures w14:val="none"/>
                    </w:rPr>
                    <w:t>Women and girls</w:t>
                  </w:r>
                </w:p>
              </w:tc>
              <w:tc>
                <w:tcPr>
                  <w:tcW w:w="2002" w:type="dxa"/>
                </w:tcPr>
                <w:p w14:paraId="38F7770A">
                  <w:pPr>
                    <w:spacing w:after="0" w:line="259" w:lineRule="auto"/>
                    <w:jc w:val="center"/>
                    <w:rPr>
                      <w:rFonts w:ascii="Aptos" w:hAnsi="Aptos" w:eastAsia="Calibri" w:cs="Calibri"/>
                      <w:b/>
                      <w:bCs/>
                      <w:kern w:val="0"/>
                      <w:szCs w:val="22"/>
                      <w14:ligatures w14:val="none"/>
                    </w:rPr>
                  </w:pPr>
                  <w:r>
                    <w:rPr>
                      <w:rFonts w:ascii="Aptos" w:hAnsi="Aptos" w:eastAsia="Calibri" w:cs="Calibri"/>
                      <w:b/>
                      <w:bCs/>
                      <w:kern w:val="0"/>
                      <w:szCs w:val="22"/>
                      <w14:ligatures w14:val="none"/>
                    </w:rPr>
                    <w:t>600</w:t>
                  </w:r>
                </w:p>
              </w:tc>
              <w:tc>
                <w:tcPr>
                  <w:tcW w:w="2115" w:type="dxa"/>
                </w:tcPr>
                <w:p w14:paraId="089E93F3">
                  <w:pPr>
                    <w:spacing w:after="0" w:line="259" w:lineRule="auto"/>
                    <w:jc w:val="center"/>
                    <w:rPr>
                      <w:rFonts w:ascii="Aptos" w:hAnsi="Aptos" w:eastAsia="Calibri" w:cs="Calibri"/>
                      <w:b/>
                      <w:bCs/>
                      <w:kern w:val="0"/>
                      <w:szCs w:val="22"/>
                      <w14:ligatures w14:val="none"/>
                    </w:rPr>
                  </w:pPr>
                  <w:r>
                    <w:rPr>
                      <w:rFonts w:ascii="Aptos" w:hAnsi="Aptos" w:eastAsia="Calibri" w:cs="Calibri"/>
                      <w:b/>
                      <w:bCs/>
                      <w:kern w:val="0"/>
                      <w:szCs w:val="22"/>
                      <w14:ligatures w14:val="none"/>
                    </w:rPr>
                    <w:t>610</w:t>
                  </w:r>
                </w:p>
              </w:tc>
            </w:tr>
            <w:tr w14:paraId="513E98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27" w:type="dxa"/>
                </w:tcPr>
                <w:p w14:paraId="27E955D1">
                  <w:pPr>
                    <w:spacing w:after="0" w:line="259" w:lineRule="auto"/>
                    <w:rPr>
                      <w:rFonts w:ascii="Aptos" w:hAnsi="Aptos" w:eastAsia="Calibri" w:cs="Calibri"/>
                      <w:kern w:val="0"/>
                      <w:szCs w:val="22"/>
                      <w14:ligatures w14:val="none"/>
                    </w:rPr>
                  </w:pPr>
                  <w:r>
                    <w:rPr>
                      <w:rFonts w:ascii="Aptos" w:hAnsi="Aptos" w:eastAsia="Calibri" w:cs="Calibri"/>
                      <w:kern w:val="0"/>
                      <w:szCs w:val="22"/>
                      <w14:ligatures w14:val="none"/>
                    </w:rPr>
                    <w:t>Men and boys</w:t>
                  </w:r>
                </w:p>
              </w:tc>
              <w:tc>
                <w:tcPr>
                  <w:tcW w:w="2002" w:type="dxa"/>
                </w:tcPr>
                <w:p w14:paraId="3D8DE80D">
                  <w:pPr>
                    <w:spacing w:after="0" w:line="259" w:lineRule="auto"/>
                    <w:jc w:val="center"/>
                    <w:rPr>
                      <w:rFonts w:ascii="Aptos" w:hAnsi="Aptos" w:eastAsia="Calibri" w:cs="Calibri"/>
                      <w:b/>
                      <w:bCs/>
                      <w:kern w:val="0"/>
                      <w:szCs w:val="22"/>
                      <w14:ligatures w14:val="none"/>
                    </w:rPr>
                  </w:pPr>
                  <w:r>
                    <w:rPr>
                      <w:rFonts w:ascii="Aptos" w:hAnsi="Aptos" w:eastAsia="Calibri" w:cs="Calibri"/>
                      <w:b/>
                      <w:bCs/>
                      <w:kern w:val="0"/>
                      <w:szCs w:val="22"/>
                      <w14:ligatures w14:val="none"/>
                    </w:rPr>
                    <w:t>900</w:t>
                  </w:r>
                </w:p>
              </w:tc>
              <w:tc>
                <w:tcPr>
                  <w:tcW w:w="2115" w:type="dxa"/>
                </w:tcPr>
                <w:p w14:paraId="080C0C40">
                  <w:pPr>
                    <w:spacing w:after="0" w:line="259" w:lineRule="auto"/>
                    <w:jc w:val="center"/>
                    <w:rPr>
                      <w:rFonts w:ascii="Aptos" w:hAnsi="Aptos" w:eastAsia="Calibri" w:cs="Calibri"/>
                      <w:b/>
                      <w:bCs/>
                      <w:kern w:val="0"/>
                      <w:szCs w:val="22"/>
                      <w14:ligatures w14:val="none"/>
                    </w:rPr>
                  </w:pPr>
                  <w:r>
                    <w:rPr>
                      <w:rFonts w:ascii="Aptos" w:hAnsi="Aptos" w:eastAsia="Calibri" w:cs="Calibri"/>
                      <w:b/>
                      <w:bCs/>
                      <w:kern w:val="0"/>
                      <w:szCs w:val="22"/>
                      <w14:ligatures w14:val="none"/>
                    </w:rPr>
                    <w:t>720</w:t>
                  </w:r>
                </w:p>
              </w:tc>
            </w:tr>
            <w:tr w14:paraId="34C58F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27" w:type="dxa"/>
                </w:tcPr>
                <w:p w14:paraId="552DBBB4">
                  <w:pPr>
                    <w:spacing w:after="0" w:line="259" w:lineRule="auto"/>
                    <w:rPr>
                      <w:rFonts w:ascii="Aptos" w:hAnsi="Aptos" w:eastAsia="Calibri" w:cs="Calibri"/>
                      <w:kern w:val="0"/>
                      <w:szCs w:val="22"/>
                      <w14:ligatures w14:val="none"/>
                    </w:rPr>
                  </w:pPr>
                  <w:r>
                    <w:rPr>
                      <w:rFonts w:ascii="Aptos" w:hAnsi="Aptos" w:eastAsia="Calibri" w:cs="Calibri"/>
                      <w:kern w:val="0"/>
                      <w:szCs w:val="22"/>
                      <w14:ligatures w14:val="none"/>
                    </w:rPr>
                    <w:t>Members/leaders of the community and/or community -based organizations/groups</w:t>
                  </w:r>
                </w:p>
              </w:tc>
              <w:tc>
                <w:tcPr>
                  <w:tcW w:w="2002" w:type="dxa"/>
                </w:tcPr>
                <w:p w14:paraId="5686B92A">
                  <w:pPr>
                    <w:spacing w:after="0" w:line="259" w:lineRule="auto"/>
                    <w:jc w:val="center"/>
                    <w:rPr>
                      <w:rFonts w:ascii="Aptos" w:hAnsi="Aptos" w:eastAsia="Calibri" w:cs="Calibri"/>
                      <w:b/>
                      <w:bCs/>
                      <w:kern w:val="0"/>
                      <w:szCs w:val="22"/>
                      <w14:ligatures w14:val="none"/>
                    </w:rPr>
                  </w:pPr>
                  <w:r>
                    <w:rPr>
                      <w:rFonts w:ascii="Aptos" w:hAnsi="Aptos" w:eastAsia="Calibri" w:cs="Calibri"/>
                      <w:b/>
                      <w:bCs/>
                      <w:kern w:val="0"/>
                      <w:szCs w:val="22"/>
                      <w14:ligatures w14:val="none"/>
                    </w:rPr>
                    <w:t>380</w:t>
                  </w:r>
                </w:p>
              </w:tc>
              <w:tc>
                <w:tcPr>
                  <w:tcW w:w="2115" w:type="dxa"/>
                </w:tcPr>
                <w:p w14:paraId="097A52C2">
                  <w:pPr>
                    <w:spacing w:after="0" w:line="259" w:lineRule="auto"/>
                    <w:jc w:val="center"/>
                    <w:rPr>
                      <w:rFonts w:ascii="Aptos" w:hAnsi="Aptos" w:eastAsia="Calibri" w:cs="Calibri"/>
                      <w:b/>
                      <w:bCs/>
                      <w:kern w:val="0"/>
                      <w:szCs w:val="22"/>
                      <w14:ligatures w14:val="none"/>
                    </w:rPr>
                  </w:pPr>
                  <w:r>
                    <w:rPr>
                      <w:rFonts w:ascii="Aptos" w:hAnsi="Aptos" w:eastAsia="Calibri" w:cs="Calibri"/>
                      <w:b/>
                      <w:bCs/>
                      <w:kern w:val="0"/>
                      <w:szCs w:val="22"/>
                      <w14:ligatures w14:val="none"/>
                    </w:rPr>
                    <w:t>290</w:t>
                  </w:r>
                </w:p>
              </w:tc>
            </w:tr>
            <w:tr w14:paraId="26238D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27" w:type="dxa"/>
                </w:tcPr>
                <w:p w14:paraId="5CA41D51">
                  <w:pPr>
                    <w:spacing w:after="0" w:line="259" w:lineRule="auto"/>
                    <w:rPr>
                      <w:rFonts w:ascii="Aptos" w:hAnsi="Aptos" w:eastAsia="Calibri" w:cs="Calibri"/>
                      <w:kern w:val="0"/>
                      <w:szCs w:val="22"/>
                      <w14:ligatures w14:val="none"/>
                    </w:rPr>
                  </w:pPr>
                  <w:r>
                    <w:rPr>
                      <w:rFonts w:ascii="Aptos" w:hAnsi="Aptos" w:eastAsia="Calibri" w:cs="Calibri"/>
                      <w:kern w:val="0"/>
                      <w:szCs w:val="22"/>
                      <w14:ligatures w14:val="none"/>
                    </w:rPr>
                    <w:t>Government officials (e.g. district councillors, policy makers, etc)</w:t>
                  </w:r>
                </w:p>
              </w:tc>
              <w:tc>
                <w:tcPr>
                  <w:tcW w:w="2002" w:type="dxa"/>
                </w:tcPr>
                <w:p w14:paraId="1F05958D">
                  <w:pPr>
                    <w:spacing w:after="0" w:line="259" w:lineRule="auto"/>
                    <w:jc w:val="center"/>
                    <w:rPr>
                      <w:rFonts w:ascii="Aptos" w:hAnsi="Aptos" w:eastAsia="Calibri" w:cs="Calibri"/>
                      <w:b/>
                      <w:bCs/>
                      <w:kern w:val="0"/>
                      <w:szCs w:val="22"/>
                      <w14:ligatures w14:val="none"/>
                    </w:rPr>
                  </w:pPr>
                  <w:r>
                    <w:rPr>
                      <w:rFonts w:ascii="Aptos" w:hAnsi="Aptos" w:eastAsia="Calibri" w:cs="Calibri"/>
                      <w:b/>
                      <w:bCs/>
                      <w:kern w:val="0"/>
                      <w:szCs w:val="22"/>
                      <w14:ligatures w14:val="none"/>
                    </w:rPr>
                    <w:t>510</w:t>
                  </w:r>
                </w:p>
              </w:tc>
              <w:tc>
                <w:tcPr>
                  <w:tcW w:w="2115" w:type="dxa"/>
                </w:tcPr>
                <w:p w14:paraId="344715FE">
                  <w:pPr>
                    <w:spacing w:after="0" w:line="259" w:lineRule="auto"/>
                    <w:jc w:val="center"/>
                    <w:rPr>
                      <w:rFonts w:ascii="Aptos" w:hAnsi="Aptos" w:eastAsia="Calibri" w:cs="Calibri"/>
                      <w:b/>
                      <w:bCs/>
                      <w:kern w:val="0"/>
                      <w:szCs w:val="22"/>
                      <w14:ligatures w14:val="none"/>
                    </w:rPr>
                  </w:pPr>
                  <w:r>
                    <w:rPr>
                      <w:rFonts w:ascii="Aptos" w:hAnsi="Aptos" w:eastAsia="Calibri" w:cs="Calibri"/>
                      <w:b/>
                      <w:bCs/>
                      <w:kern w:val="0"/>
                      <w:szCs w:val="22"/>
                      <w14:ligatures w14:val="none"/>
                    </w:rPr>
                    <w:t>400</w:t>
                  </w:r>
                </w:p>
              </w:tc>
            </w:tr>
            <w:tr w14:paraId="7672A3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27" w:type="dxa"/>
                </w:tcPr>
                <w:p w14:paraId="0BD92629">
                  <w:pPr>
                    <w:spacing w:after="0" w:line="259" w:lineRule="auto"/>
                    <w:rPr>
                      <w:rFonts w:ascii="Aptos" w:hAnsi="Aptos" w:eastAsia="Calibri" w:cs="Calibri"/>
                      <w:kern w:val="0"/>
                      <w:szCs w:val="22"/>
                      <w14:ligatures w14:val="none"/>
                    </w:rPr>
                  </w:pPr>
                  <w:r>
                    <w:rPr>
                      <w:rFonts w:ascii="Aptos" w:hAnsi="Aptos" w:eastAsia="Calibri" w:cs="Calibri"/>
                      <w:kern w:val="0"/>
                      <w:szCs w:val="22"/>
                      <w14:ligatures w14:val="none"/>
                    </w:rPr>
                    <w:t>Family members (e.g. parents, husbands, mothers-in-law)</w:t>
                  </w:r>
                </w:p>
              </w:tc>
              <w:tc>
                <w:tcPr>
                  <w:tcW w:w="2002" w:type="dxa"/>
                </w:tcPr>
                <w:p w14:paraId="2499A074">
                  <w:pPr>
                    <w:spacing w:after="0" w:line="259" w:lineRule="auto"/>
                    <w:jc w:val="center"/>
                    <w:rPr>
                      <w:rFonts w:ascii="Aptos" w:hAnsi="Aptos" w:eastAsia="Calibri" w:cs="Calibri"/>
                      <w:b/>
                      <w:bCs/>
                      <w:kern w:val="0"/>
                      <w:szCs w:val="22"/>
                      <w14:ligatures w14:val="none"/>
                    </w:rPr>
                  </w:pPr>
                  <w:r>
                    <w:rPr>
                      <w:rFonts w:ascii="Aptos" w:hAnsi="Aptos" w:eastAsia="Calibri" w:cs="Calibri"/>
                      <w:b/>
                      <w:bCs/>
                      <w:kern w:val="0"/>
                      <w:szCs w:val="22"/>
                      <w14:ligatures w14:val="none"/>
                    </w:rPr>
                    <w:t>1,200</w:t>
                  </w:r>
                </w:p>
              </w:tc>
              <w:tc>
                <w:tcPr>
                  <w:tcW w:w="2115" w:type="dxa"/>
                </w:tcPr>
                <w:p w14:paraId="34AD4667">
                  <w:pPr>
                    <w:spacing w:after="0" w:line="259" w:lineRule="auto"/>
                    <w:jc w:val="center"/>
                    <w:rPr>
                      <w:rFonts w:ascii="Aptos" w:hAnsi="Aptos" w:eastAsia="Calibri" w:cs="Calibri"/>
                      <w:b/>
                      <w:bCs/>
                      <w:kern w:val="0"/>
                      <w:szCs w:val="22"/>
                      <w14:ligatures w14:val="none"/>
                    </w:rPr>
                  </w:pPr>
                  <w:r>
                    <w:rPr>
                      <w:rFonts w:ascii="Aptos" w:hAnsi="Aptos" w:eastAsia="Calibri" w:cs="Calibri"/>
                      <w:b/>
                      <w:bCs/>
                      <w:kern w:val="0"/>
                      <w:szCs w:val="22"/>
                      <w14:ligatures w14:val="none"/>
                    </w:rPr>
                    <w:t>1150</w:t>
                  </w:r>
                </w:p>
              </w:tc>
            </w:tr>
            <w:tr w14:paraId="756CDD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27" w:type="dxa"/>
                  <w:shd w:val="clear" w:color="auto" w:fill="92D050"/>
                </w:tcPr>
                <w:p w14:paraId="1BB6080B">
                  <w:pPr>
                    <w:spacing w:after="0" w:line="259" w:lineRule="auto"/>
                    <w:rPr>
                      <w:rFonts w:ascii="Aptos" w:hAnsi="Aptos" w:eastAsia="Calibri" w:cs="Calibri"/>
                      <w:kern w:val="0"/>
                      <w:szCs w:val="22"/>
                      <w14:ligatures w14:val="none"/>
                    </w:rPr>
                  </w:pPr>
                  <w:r>
                    <w:rPr>
                      <w:rFonts w:ascii="Aptos" w:hAnsi="Aptos" w:eastAsia="Calibri" w:cs="Calibri"/>
                      <w:kern w:val="0"/>
                      <w:szCs w:val="22"/>
                      <w14:ligatures w14:val="none"/>
                    </w:rPr>
                    <w:t>Total</w:t>
                  </w:r>
                </w:p>
              </w:tc>
              <w:tc>
                <w:tcPr>
                  <w:tcW w:w="2002" w:type="dxa"/>
                  <w:shd w:val="clear" w:color="auto" w:fill="92D050"/>
                </w:tcPr>
                <w:p w14:paraId="315F563A">
                  <w:pPr>
                    <w:spacing w:after="0" w:line="259" w:lineRule="auto"/>
                    <w:jc w:val="center"/>
                    <w:rPr>
                      <w:rFonts w:ascii="Aptos" w:hAnsi="Aptos" w:eastAsia="Calibri" w:cs="Calibri"/>
                      <w:b/>
                      <w:bCs/>
                      <w:kern w:val="0"/>
                      <w:szCs w:val="22"/>
                      <w14:ligatures w14:val="none"/>
                    </w:rPr>
                  </w:pPr>
                  <w:r>
                    <w:rPr>
                      <w:rFonts w:ascii="Aptos" w:hAnsi="Aptos" w:eastAsia="Calibri" w:cs="Calibri"/>
                      <w:b/>
                      <w:bCs/>
                      <w:kern w:val="0"/>
                      <w:szCs w:val="22"/>
                      <w14:ligatures w14:val="none"/>
                    </w:rPr>
                    <w:t>3,590</w:t>
                  </w:r>
                </w:p>
              </w:tc>
              <w:tc>
                <w:tcPr>
                  <w:tcW w:w="2115" w:type="dxa"/>
                  <w:shd w:val="clear" w:color="auto" w:fill="92D050"/>
                </w:tcPr>
                <w:p w14:paraId="317BCCCF">
                  <w:pPr>
                    <w:spacing w:after="0" w:line="259" w:lineRule="auto"/>
                    <w:jc w:val="center"/>
                    <w:rPr>
                      <w:rFonts w:ascii="Aptos" w:hAnsi="Aptos" w:eastAsia="Calibri" w:cs="Calibri"/>
                      <w:b/>
                      <w:bCs/>
                      <w:kern w:val="0"/>
                      <w:szCs w:val="22"/>
                      <w14:ligatures w14:val="none"/>
                    </w:rPr>
                  </w:pPr>
                  <w:r>
                    <w:rPr>
                      <w:rFonts w:ascii="Aptos" w:hAnsi="Aptos" w:eastAsia="Calibri" w:cs="Calibri"/>
                      <w:b/>
                      <w:bCs/>
                      <w:kern w:val="0"/>
                      <w:szCs w:val="22"/>
                      <w14:ligatures w14:val="none"/>
                    </w:rPr>
                    <w:t>3,170</w:t>
                  </w:r>
                </w:p>
              </w:tc>
            </w:tr>
          </w:tbl>
          <w:p w14:paraId="6EF5E15F">
            <w:pPr>
              <w:spacing w:after="0" w:line="259" w:lineRule="auto"/>
              <w:rPr>
                <w:rFonts w:ascii="Aptos" w:hAnsi="Aptos" w:eastAsia="Calibri" w:cs="Calibri"/>
                <w:kern w:val="0"/>
                <w:szCs w:val="22"/>
                <w14:ligatures w14:val="none"/>
              </w:rPr>
            </w:pPr>
          </w:p>
        </w:tc>
      </w:tr>
      <w:tr w14:paraId="0B44169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610" w:type="dxa"/>
          </w:tcPr>
          <w:p w14:paraId="035F1BD2">
            <w:pPr>
              <w:spacing w:after="0" w:line="259" w:lineRule="auto"/>
              <w:rPr>
                <w:rFonts w:ascii="Aptos" w:hAnsi="Aptos" w:eastAsia="Calibri" w:cs="Calibri"/>
                <w:b/>
                <w:kern w:val="0"/>
                <w:szCs w:val="22"/>
                <w14:ligatures w14:val="none"/>
              </w:rPr>
            </w:pPr>
            <w:r>
              <w:rPr>
                <w:rFonts w:ascii="Aptos" w:hAnsi="Aptos" w:eastAsia="Calibri" w:cs="Calibri"/>
                <w:b/>
                <w:kern w:val="0"/>
                <w:szCs w:val="22"/>
                <w14:ligatures w14:val="none"/>
              </w:rPr>
              <w:t>Key implementing partners and stakeholders</w:t>
            </w:r>
          </w:p>
        </w:tc>
        <w:tc>
          <w:tcPr>
            <w:tcW w:w="6570" w:type="dxa"/>
          </w:tcPr>
          <w:p w14:paraId="4D31E6E6">
            <w:pPr>
              <w:spacing w:after="0" w:line="259" w:lineRule="auto"/>
              <w:jc w:val="both"/>
              <w:rPr>
                <w:rFonts w:ascii="Aptos" w:hAnsi="Aptos" w:eastAsia="Calibri" w:cs="Calibri"/>
                <w:kern w:val="0"/>
                <w:szCs w:val="22"/>
                <w14:ligatures w14:val="none"/>
              </w:rPr>
            </w:pPr>
            <w:r>
              <w:rPr>
                <w:rFonts w:ascii="Aptos" w:hAnsi="Aptos" w:eastAsia="Calibri" w:cs="Calibri"/>
                <w:kern w:val="0"/>
                <w:szCs w:val="22"/>
                <w14:ligatures w14:val="none"/>
              </w:rPr>
              <w:t>Roma Women Center Bibija is the lead partner is this project; however, it cooperates with the Roma Women’s Network of Serbia (RWN), an informal network comprised of Roma women’s organisations and grassroot initiatives. In this project, we particularly engage with 10 organisations from 10 project municipalities.</w:t>
            </w:r>
          </w:p>
          <w:p w14:paraId="0E73D103">
            <w:pPr>
              <w:spacing w:after="0" w:line="259" w:lineRule="auto"/>
              <w:jc w:val="both"/>
              <w:rPr>
                <w:rFonts w:ascii="Aptos" w:hAnsi="Aptos" w:eastAsia="Calibri" w:cs="Calibri"/>
                <w:kern w:val="0"/>
                <w:szCs w:val="22"/>
                <w14:ligatures w14:val="none"/>
              </w:rPr>
            </w:pPr>
          </w:p>
          <w:p w14:paraId="05A3C37A">
            <w:pPr>
              <w:spacing w:after="0" w:line="259" w:lineRule="auto"/>
              <w:jc w:val="both"/>
              <w:rPr>
                <w:rFonts w:ascii="Aptos" w:hAnsi="Aptos" w:eastAsia="Calibri" w:cs="Calibri"/>
                <w:kern w:val="0"/>
                <w:szCs w:val="22"/>
                <w14:ligatures w14:val="none"/>
              </w:rPr>
            </w:pPr>
            <w:r>
              <w:rPr>
                <w:rFonts w:ascii="Aptos" w:hAnsi="Aptos" w:eastAsia="Calibri" w:cs="Calibri"/>
                <w:kern w:val="0"/>
                <w:szCs w:val="22"/>
                <w14:ligatures w14:val="none"/>
              </w:rPr>
              <w:t xml:space="preserve">The RWN is an informal network, based in the decision of RWN members, in order to strength capacities of individual member organizations and to avoid centralization and maintenance of human and financial costs of another legal entity. In its work, more developed organizations from RWN include organizations and informal initiatives with less capacity in their projects, increasing their capacities and opportunities. </w:t>
            </w:r>
          </w:p>
          <w:p w14:paraId="768ECB73">
            <w:pPr>
              <w:spacing w:after="0" w:line="259" w:lineRule="auto"/>
              <w:jc w:val="both"/>
              <w:rPr>
                <w:rFonts w:ascii="Aptos" w:hAnsi="Aptos" w:eastAsia="Calibri" w:cs="Calibri"/>
                <w:kern w:val="0"/>
                <w:szCs w:val="22"/>
                <w14:ligatures w14:val="none"/>
              </w:rPr>
            </w:pPr>
          </w:p>
          <w:p w14:paraId="72BB01E1">
            <w:pPr>
              <w:spacing w:after="0" w:line="259" w:lineRule="auto"/>
              <w:jc w:val="both"/>
              <w:rPr>
                <w:rFonts w:ascii="Aptos" w:hAnsi="Aptos" w:eastAsia="Calibri" w:cs="Calibri"/>
                <w:kern w:val="0"/>
                <w:szCs w:val="22"/>
                <w14:ligatures w14:val="none"/>
              </w:rPr>
            </w:pPr>
            <w:r>
              <w:rPr>
                <w:rFonts w:ascii="Aptos" w:hAnsi="Aptos" w:eastAsia="Calibri" w:cs="Calibri"/>
                <w:kern w:val="0"/>
                <w:szCs w:val="22"/>
                <w14:ligatures w14:val="none"/>
              </w:rPr>
              <w:t>Partnerships are developing with local communities too, especially with Roma women and girls. As practice has shown, working with and in communities contributes to the growth of activism and the inclusion of new activists in RWN. All organizations from RWN are local, they work in their own communities and familiar with problems and thus are agents of potential solutions for behavioural change.</w:t>
            </w:r>
          </w:p>
        </w:tc>
      </w:tr>
    </w:tbl>
    <w:p w14:paraId="001502A0">
      <w:pPr>
        <w:spacing w:after="120" w:line="240" w:lineRule="auto"/>
        <w:jc w:val="both"/>
        <w:rPr>
          <w:rFonts w:cs="Calibri"/>
          <w:b/>
          <w:bCs/>
          <w:color w:val="F15E24" w:themeColor="accent6"/>
          <w14:textFill>
            <w14:solidFill>
              <w14:schemeClr w14:val="accent6"/>
            </w14:solidFill>
          </w14:textFill>
        </w:rPr>
      </w:pPr>
    </w:p>
    <w:p w14:paraId="4265143D">
      <w:pPr>
        <w:jc w:val="both"/>
        <w:rPr>
          <w:szCs w:val="22"/>
        </w:rPr>
      </w:pPr>
      <w:r>
        <w:rPr>
          <w:szCs w:val="22"/>
        </w:rPr>
        <w:t>The project aims to contribute to ending child marriages among Roma communities in Serbia by empowering adolescent Roma girls, strengthening the capacities of Roma women activists, and improving institutional responses through education, dialogue, capacity building, meaningful and consistent stakeholder collaboration, and advocacy in 10 project municipalities. The project was implemented by the Roma Women's Centre Bibija in cooperation with the Roma Women's Network, recognising child marriage as a harmful practice and a human rights violation, rather than a cultural tradition, rooted in intersecting forms of discrimination, including poverty, gender inequality, racism, and social exclusion. The 10 project municipalities (Bujanovac, Vranje, Leskovac, Kruševac, Pirot, Kostolac, Belgrade Municipalities Zvezdara and Voždovac, Kragujevac, and Žabalj) were selected based on a research</w:t>
      </w:r>
      <w:r>
        <w:rPr>
          <w:rStyle w:val="20"/>
          <w:szCs w:val="22"/>
        </w:rPr>
        <w:footnoteReference w:id="2"/>
      </w:r>
      <w:r>
        <w:rPr>
          <w:szCs w:val="22"/>
        </w:rPr>
        <w:t xml:space="preserve"> conducted by RWN that refers to the highest frequency of child marriages in 30 municipalities where organizations of the RWN operate. </w:t>
      </w:r>
    </w:p>
    <w:p w14:paraId="15906AAB">
      <w:pPr>
        <w:jc w:val="both"/>
        <w:rPr>
          <w:szCs w:val="22"/>
        </w:rPr>
      </w:pPr>
      <w:r>
        <w:rPr>
          <w:szCs w:val="22"/>
        </w:rPr>
        <w:t xml:space="preserve">The project pursued three main objectives: (1) increasing 900 adolescent Roma girls' and 1200 Roma community members’ awareness of the consequences of child marriage and available protection mechanisms in 10 project municipalities; (2) strengthening the capacities of 20 Roma women activists to prevent child marriages and advocate for the rights of girls within their own communities; and (3) initiating stronger cooperation and multisector institutional responses to child marriage cases at the local level by initiating and operationalising 10 local coalitions  in 10 project municipalities. For any educational activities with the Roma community, like workshops, discussions and trainings, specialised child-friendly, gender- and culturally-sensitive curriculums were developed. The topics included various aspects of child marriage, including its causes, consequences, legal framework, protection mechanisms, and strategies for prevention and intervention. They are specialised in the sense that they refer to specific needs and challenges faced by different stakeholders, such as adolescent Roma girls, parents, teachers and community leaders. </w:t>
      </w:r>
    </w:p>
    <w:p w14:paraId="17AC1FDD">
      <w:pPr>
        <w:jc w:val="both"/>
        <w:rPr>
          <w:szCs w:val="22"/>
        </w:rPr>
      </w:pPr>
      <w:r>
        <w:rPr>
          <w:szCs w:val="22"/>
        </w:rPr>
        <w:t xml:space="preserve">Activities with the Roma community were implemented in 20 Roma settlements across ten municipalities with a high prevalence of child marriages in the form of workshops with adolescent Roma girls (10-19) and discussions with their families and other members of the local Roma community. The project saw 3 yearly cycles of workshops with a new group of girls each year. A total of 872 girls in 20 different settlements across Serbia participated in workshops facilitated by Roma women activists, who created safe spaces for girls to discuss child marriage, gender-based violence, legal rights, and available support mechanisms. Certain girls from the first and second cycle, who showed elevated levels of interest and advocacy skills, were included in the following cycles in order to provide support for their peers and serve as role models. The discussions with a total of 1203 Roma families and community members challenged harmful social norms and encouraged open discussion on a topic that remains highly stigmatised. Intended to be open to all community members and different opinions on child marriages, discussions offered us a space to present girls’/women’s point of view to the community. That space is otherwise not easy to create because child marriages are an obvious taboo in the Roma community; they are non-debatable even among Roma activists except when challenged by Roma feminists. Strong patriarchal beliefs in the Roma community not only limit girls’ freedoms, but very often impose customary laws that are more rigid than codified law. One example heard throughout the testimonies of our participants is the respect for the cult of virginity. Conversely, men’s participation in the discussions was low, while in some municipalities, like Voždovac and Kruševac, men repeatedly refused to participate. As a result, 65% of the discussion participants throughout the three years were women. </w:t>
      </w:r>
    </w:p>
    <w:p w14:paraId="3C89FD66">
      <w:pPr>
        <w:jc w:val="both"/>
        <w:rPr>
          <w:szCs w:val="22"/>
        </w:rPr>
      </w:pPr>
      <w:r>
        <w:rPr>
          <w:szCs w:val="22"/>
        </w:rPr>
        <w:t>The second component of the project was the capacity building of Roma women activists. Through specialised training (3) on the workings of local governments and legal protection mechanisms available, as well as practical engagement, activists strengthened their knowledge, facilitation skills, and ability to cooperate with local authorities while serving as trusted advocates within their communities.</w:t>
      </w:r>
    </w:p>
    <w:p w14:paraId="78EB9165">
      <w:pPr>
        <w:jc w:val="both"/>
        <w:rPr>
          <w:szCs w:val="22"/>
        </w:rPr>
      </w:pPr>
      <w:r>
        <w:rPr>
          <w:szCs w:val="22"/>
        </w:rPr>
        <w:t xml:space="preserve">Lastly, the project successfully initiated and nurtured 10 local coalitions based on the model of existing </w:t>
      </w:r>
      <w:r>
        <w:rPr>
          <w:i/>
          <w:iCs/>
          <w:szCs w:val="22"/>
        </w:rPr>
        <w:t>National collation against child marriages</w:t>
      </w:r>
      <w:r>
        <w:rPr>
          <w:szCs w:val="22"/>
        </w:rPr>
        <w:t xml:space="preserve"> in order to promote stronger institutional accountability by supporting multisector cooperation between schools, social care centres, healthcare institutions, police, prosecution, local governments, and Roma women's organisations. These coalitions will be formed from representatives of relevant institutions. Local Roma women’s organizations will monitor their regular work. Advocacy activities complemented these efforts by promoting the message that child marriage is a human rights violation rather than a cultural tradition and by encouraging the consistent implementation of national legislation and international human rights standards. </w:t>
      </w:r>
    </w:p>
    <w:p w14:paraId="2424874B">
      <w:pPr>
        <w:rPr>
          <w:szCs w:val="22"/>
        </w:rPr>
      </w:pPr>
    </w:p>
    <w:p w14:paraId="6BEDC8FB">
      <w:pPr>
        <w:pStyle w:val="3"/>
      </w:pPr>
      <w:bookmarkStart w:id="4" w:name="_Toc237970486"/>
      <w:r>
        <w:t>PROJECT RESULTS FRAMEWORK</w:t>
      </w:r>
      <w:bookmarkEnd w:id="4"/>
    </w:p>
    <w:tbl>
      <w:tblPr>
        <w:tblStyle w:val="26"/>
        <w:tblW w:w="11250" w:type="dxa"/>
        <w:tblInd w:w="-108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690"/>
        <w:gridCol w:w="1080"/>
        <w:gridCol w:w="2520"/>
        <w:gridCol w:w="3960"/>
      </w:tblGrid>
      <w:tr w14:paraId="0086E0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50" w:type="dxa"/>
            <w:gridSpan w:val="4"/>
            <w:shd w:val="clear" w:color="auto" w:fill="92D050"/>
          </w:tcPr>
          <w:p w14:paraId="527C2AE8">
            <w:pPr>
              <w:spacing w:after="120" w:line="240" w:lineRule="auto"/>
              <w:jc w:val="center"/>
              <w:rPr>
                <w:rFonts w:cs="Calibri"/>
                <w:b/>
                <w:bCs/>
              </w:rPr>
            </w:pPr>
            <w:r>
              <w:rPr>
                <w:rFonts w:cs="Calibri"/>
                <w:b/>
                <w:bCs/>
              </w:rPr>
              <w:t xml:space="preserve">Goal statement:  </w:t>
            </w:r>
            <w:r>
              <w:rPr>
                <w:rFonts w:cs="Calibri"/>
                <w:b/>
                <w:bCs/>
                <w:color w:val="000000" w:themeColor="text1"/>
                <w14:textFill>
                  <w14:solidFill>
                    <w14:schemeClr w14:val="tx1"/>
                  </w14:solidFill>
                </w14:textFill>
              </w:rPr>
              <w:t>Roma Adolescent girls at risk of child marriage in targeted areas are empowered to express and exercise their choices.</w:t>
            </w:r>
          </w:p>
        </w:tc>
      </w:tr>
      <w:tr w14:paraId="1AE8EC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7" w:hRule="atLeast"/>
        </w:trPr>
        <w:tc>
          <w:tcPr>
            <w:tcW w:w="3690" w:type="dxa"/>
          </w:tcPr>
          <w:p w14:paraId="46429C43">
            <w:pPr>
              <w:spacing w:after="120" w:line="240" w:lineRule="auto"/>
              <w:jc w:val="center"/>
              <w:rPr>
                <w:rFonts w:cs="Calibri"/>
                <w:b/>
                <w:bCs/>
              </w:rPr>
            </w:pPr>
            <w:r>
              <w:rPr>
                <w:rFonts w:cs="Calibri"/>
                <w:b/>
                <w:bCs/>
              </w:rPr>
              <w:t xml:space="preserve">Goal Indicator </w:t>
            </w:r>
            <w:r>
              <w:rPr>
                <w:rFonts w:cs="Calibri"/>
                <w:color w:val="000000" w:themeColor="text1"/>
                <w14:textFill>
                  <w14:solidFill>
                    <w14:schemeClr w14:val="tx1"/>
                  </w14:solidFill>
                </w14:textFill>
              </w:rPr>
              <w:t>1.1 - Percentage of adolescent Roma girls in 10 target municipalities make informed choices about their education, including selecting courses, pursuing higher education, or participating in vocational training</w:t>
            </w:r>
          </w:p>
        </w:tc>
        <w:tc>
          <w:tcPr>
            <w:tcW w:w="3600" w:type="dxa"/>
            <w:gridSpan w:val="2"/>
          </w:tcPr>
          <w:p w14:paraId="04718F22">
            <w:pPr>
              <w:spacing w:after="120" w:line="240" w:lineRule="auto"/>
              <w:jc w:val="center"/>
              <w:rPr>
                <w:rFonts w:cs="Calibri"/>
                <w:b/>
                <w:bCs/>
              </w:rPr>
            </w:pPr>
            <w:r>
              <w:rPr>
                <w:rFonts w:cs="Calibri"/>
                <w:b/>
                <w:bCs/>
              </w:rPr>
              <w:t xml:space="preserve">Goal Indicator </w:t>
            </w:r>
            <w:r>
              <w:rPr>
                <w:rFonts w:cs="Calibri"/>
                <w:color w:val="000000" w:themeColor="text1"/>
                <w14:textFill>
                  <w14:solidFill>
                    <w14:schemeClr w14:val="tx1"/>
                  </w14:solidFill>
                </w14:textFill>
              </w:rPr>
              <w:t>1.2 - Percentage of adolescent Roma girls in 10 target municipalities who report feeling more confident in expressing their opinions and making decisions about their lives</w:t>
            </w:r>
          </w:p>
        </w:tc>
        <w:tc>
          <w:tcPr>
            <w:tcW w:w="3960" w:type="dxa"/>
          </w:tcPr>
          <w:p w14:paraId="138CC832">
            <w:pPr>
              <w:spacing w:after="120" w:line="240" w:lineRule="auto"/>
              <w:jc w:val="center"/>
              <w:rPr>
                <w:rFonts w:cs="Calibri"/>
                <w:b/>
                <w:bCs/>
                <w:color w:val="F15E24" w:themeColor="accent6"/>
                <w14:textFill>
                  <w14:solidFill>
                    <w14:schemeClr w14:val="accent6"/>
                  </w14:solidFill>
                </w14:textFill>
              </w:rPr>
            </w:pPr>
            <w:r>
              <w:rPr>
                <w:rFonts w:cs="Calibri"/>
                <w:b/>
                <w:bCs/>
              </w:rPr>
              <w:t xml:space="preserve">Goal Indicator </w:t>
            </w:r>
            <w:r>
              <w:rPr>
                <w:rFonts w:cs="Calibri"/>
                <w:color w:val="000000" w:themeColor="text1"/>
                <w14:textFill>
                  <w14:solidFill>
                    <w14:schemeClr w14:val="tx1"/>
                  </w14:solidFill>
                </w14:textFill>
              </w:rPr>
              <w:t>1.3 - Number of adolescent Roma girls in 10 target municipalities who demonstrate leadership skills and actively advocate for their rights and interests within their communities and beyond</w:t>
            </w:r>
          </w:p>
        </w:tc>
      </w:tr>
      <w:tr w14:paraId="38E1BA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7" w:hRule="atLeast"/>
        </w:trPr>
        <w:tc>
          <w:tcPr>
            <w:tcW w:w="11250" w:type="dxa"/>
            <w:gridSpan w:val="4"/>
            <w:shd w:val="clear" w:color="auto" w:fill="F36BD8" w:themeFill="accent2" w:themeFillShade="BF"/>
          </w:tcPr>
          <w:p w14:paraId="3A46601B">
            <w:pPr>
              <w:spacing w:after="120" w:line="240" w:lineRule="auto"/>
              <w:jc w:val="center"/>
              <w:rPr>
                <w:rFonts w:cs="Calibri"/>
                <w:b/>
                <w:bCs/>
              </w:rPr>
            </w:pPr>
            <w:r>
              <w:rPr>
                <w:rFonts w:cs="Calibri"/>
                <w:b/>
                <w:bCs/>
              </w:rPr>
              <w:t>Outcome 1: By 2026, Roma communities in target areas decrease their acceptance of child marriages and actively resist their harmful consequences.</w:t>
            </w:r>
          </w:p>
        </w:tc>
      </w:tr>
      <w:tr w14:paraId="18DEFC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7" w:hRule="atLeast"/>
        </w:trPr>
        <w:tc>
          <w:tcPr>
            <w:tcW w:w="3690" w:type="dxa"/>
          </w:tcPr>
          <w:p w14:paraId="3DD278CB">
            <w:pPr>
              <w:spacing w:after="120" w:line="240" w:lineRule="auto"/>
              <w:jc w:val="center"/>
              <w:rPr>
                <w:rFonts w:cs="Calibri"/>
                <w:b/>
                <w:bCs/>
              </w:rPr>
            </w:pPr>
            <w:r>
              <w:rPr>
                <w:rFonts w:cs="Calibri"/>
                <w:b/>
                <w:bCs/>
              </w:rPr>
              <w:t>Outcome Indicator 1.1:</w:t>
            </w:r>
            <w:r>
              <w:rPr>
                <w:rFonts w:ascii="IBM Plex Sans" w:hAnsi="IBM Plex Sans"/>
                <w:color w:val="707070"/>
                <w:sz w:val="20"/>
                <w:szCs w:val="20"/>
                <w:shd w:val="clear" w:color="auto" w:fill="FFFFFF"/>
              </w:rPr>
              <w:t xml:space="preserve"> </w:t>
            </w:r>
            <w:r>
              <w:rPr>
                <w:rFonts w:cs="Calibri"/>
              </w:rPr>
              <w:t>Percentage of Roma community members in 10 target municipalities who express support for measures to prevent and respond to child marriage through formal statements, pledges, or community agreements</w:t>
            </w:r>
          </w:p>
        </w:tc>
        <w:tc>
          <w:tcPr>
            <w:tcW w:w="3600" w:type="dxa"/>
            <w:gridSpan w:val="2"/>
          </w:tcPr>
          <w:p w14:paraId="4E70D21F">
            <w:pPr>
              <w:spacing w:after="120" w:line="240" w:lineRule="auto"/>
              <w:jc w:val="center"/>
              <w:rPr>
                <w:rFonts w:cs="Calibri"/>
                <w:b/>
                <w:bCs/>
              </w:rPr>
            </w:pPr>
            <w:r>
              <w:rPr>
                <w:rFonts w:cs="Calibri"/>
                <w:b/>
                <w:bCs/>
              </w:rPr>
              <w:t>Outcome Indicator 1.2:</w:t>
            </w:r>
            <w:r>
              <w:rPr>
                <w:rFonts w:ascii="IBM Plex Sans" w:hAnsi="IBM Plex Sans"/>
                <w:color w:val="707070"/>
                <w:sz w:val="20"/>
                <w:szCs w:val="20"/>
                <w:shd w:val="clear" w:color="auto" w:fill="FFFFFF"/>
              </w:rPr>
              <w:t xml:space="preserve"> </w:t>
            </w:r>
            <w:r>
              <w:rPr>
                <w:rFonts w:cs="Calibri"/>
              </w:rPr>
              <w:t>Perception of the Roma community in 10 target municipalities who support marrying their daughter/female household members before the age of 18</w:t>
            </w:r>
          </w:p>
        </w:tc>
        <w:tc>
          <w:tcPr>
            <w:tcW w:w="3960" w:type="dxa"/>
          </w:tcPr>
          <w:p w14:paraId="5939C8F3">
            <w:pPr>
              <w:spacing w:after="120" w:line="240" w:lineRule="auto"/>
              <w:jc w:val="center"/>
              <w:rPr>
                <w:rFonts w:cs="Calibri"/>
                <w:b/>
                <w:bCs/>
              </w:rPr>
            </w:pPr>
            <w:r>
              <w:rPr>
                <w:rFonts w:cs="Calibri"/>
                <w:b/>
                <w:bCs/>
              </w:rPr>
              <w:t xml:space="preserve">Outcome Indicator 1.3: </w:t>
            </w:r>
            <w:r>
              <w:rPr>
                <w:rFonts w:cs="Calibri"/>
              </w:rPr>
              <w:t>Adolescent Roma girls' sense of self-efficacy and confidence in negotiating and delaying early marriage within the Roma communities in 10 target municipalities</w:t>
            </w:r>
          </w:p>
        </w:tc>
      </w:tr>
      <w:tr w14:paraId="0B5D1F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770" w:type="dxa"/>
            <w:gridSpan w:val="2"/>
            <w:vMerge w:val="restart"/>
            <w:shd w:val="clear" w:color="auto" w:fill="F9BEA7" w:themeFill="accent6" w:themeFillTint="66"/>
            <w:vAlign w:val="center"/>
          </w:tcPr>
          <w:p w14:paraId="516AB5C5">
            <w:pPr>
              <w:tabs>
                <w:tab w:val="left" w:pos="1720"/>
              </w:tabs>
              <w:spacing w:after="120" w:line="240" w:lineRule="auto"/>
              <w:jc w:val="center"/>
              <w:rPr>
                <w:rFonts w:cs="Calibri"/>
                <w:b/>
                <w:bCs/>
              </w:rPr>
            </w:pPr>
            <w:r>
              <w:rPr>
                <w:rFonts w:cs="Calibri"/>
                <w:b/>
                <w:bCs/>
              </w:rPr>
              <w:t xml:space="preserve">Output 1: </w:t>
            </w:r>
            <w:r>
              <w:rPr>
                <w:rFonts w:cs="Calibri"/>
              </w:rPr>
              <w:t>900 Adolescent girls in the targeted area improved knowledge, life skills and information on the impacts and their rights in the prevention and mitigation of child marriage consequences</w:t>
            </w:r>
          </w:p>
        </w:tc>
        <w:tc>
          <w:tcPr>
            <w:tcW w:w="6480" w:type="dxa"/>
            <w:gridSpan w:val="2"/>
          </w:tcPr>
          <w:p w14:paraId="0323B180">
            <w:pPr>
              <w:spacing w:after="120" w:line="240" w:lineRule="auto"/>
              <w:jc w:val="both"/>
              <w:rPr>
                <w:rFonts w:cs="Calibri"/>
                <w:b/>
                <w:bCs/>
                <w:color w:val="F15E24" w:themeColor="accent6"/>
                <w14:textFill>
                  <w14:solidFill>
                    <w14:schemeClr w14:val="accent6"/>
                  </w14:solidFill>
                </w14:textFill>
              </w:rPr>
            </w:pPr>
            <w:r>
              <w:rPr>
                <w:rFonts w:cs="Calibri"/>
                <w:b/>
                <w:bCs/>
              </w:rPr>
              <w:t>Output Indicator 1.1:</w:t>
            </w:r>
            <w:r>
              <w:rPr>
                <w:rFonts w:ascii="IBM Plex Sans" w:hAnsi="IBM Plex Sans"/>
                <w:color w:val="707070"/>
                <w:sz w:val="20"/>
                <w:szCs w:val="20"/>
                <w:shd w:val="clear" w:color="auto" w:fill="FFFFFF"/>
              </w:rPr>
              <w:t xml:space="preserve"> </w:t>
            </w:r>
            <w:r>
              <w:rPr>
                <w:rFonts w:cs="Calibri"/>
              </w:rPr>
              <w:t>Number of adolescent Roma girls in 10 target municipalities who completed the training program of 16h (2h per 1.5 week for 12 weeks</w:t>
            </w:r>
          </w:p>
        </w:tc>
      </w:tr>
      <w:tr w14:paraId="0CC97B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770" w:type="dxa"/>
            <w:gridSpan w:val="2"/>
            <w:vMerge w:val="continue"/>
            <w:shd w:val="clear" w:color="auto" w:fill="F9BEA7" w:themeFill="accent6" w:themeFillTint="66"/>
          </w:tcPr>
          <w:p w14:paraId="0E8FD924">
            <w:pPr>
              <w:spacing w:after="120" w:line="240" w:lineRule="auto"/>
              <w:jc w:val="both"/>
              <w:rPr>
                <w:rFonts w:cs="Calibri"/>
                <w:b/>
                <w:bCs/>
              </w:rPr>
            </w:pPr>
          </w:p>
        </w:tc>
        <w:tc>
          <w:tcPr>
            <w:tcW w:w="6480" w:type="dxa"/>
            <w:gridSpan w:val="2"/>
          </w:tcPr>
          <w:p w14:paraId="27CA090A">
            <w:pPr>
              <w:spacing w:after="120" w:line="240" w:lineRule="auto"/>
              <w:jc w:val="both"/>
              <w:rPr>
                <w:rFonts w:cs="Calibri"/>
                <w:b/>
                <w:bCs/>
                <w:color w:val="F15E24" w:themeColor="accent6"/>
                <w14:textFill>
                  <w14:solidFill>
                    <w14:schemeClr w14:val="accent6"/>
                  </w14:solidFill>
                </w14:textFill>
              </w:rPr>
            </w:pPr>
            <w:r>
              <w:rPr>
                <w:rFonts w:cs="Calibri"/>
                <w:b/>
                <w:bCs/>
              </w:rPr>
              <w:t>Output Indicator 1.2:</w:t>
            </w:r>
            <w:r>
              <w:rPr>
                <w:rFonts w:ascii="IBM Plex Sans" w:hAnsi="IBM Plex Sans"/>
                <w:color w:val="707070"/>
                <w:sz w:val="20"/>
                <w:szCs w:val="20"/>
                <w:shd w:val="clear" w:color="auto" w:fill="FFFFFF"/>
              </w:rPr>
              <w:t xml:space="preserve"> </w:t>
            </w:r>
            <w:r>
              <w:rPr>
                <w:rFonts w:cs="Calibri"/>
              </w:rPr>
              <w:t>Percentage of adolescent Roma girls in 10 target municipalities that demonstrate improved knowledge of their rights and child marriage, its impacts and consequences</w:t>
            </w:r>
          </w:p>
        </w:tc>
      </w:tr>
      <w:tr w14:paraId="2DEC4A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770" w:type="dxa"/>
            <w:gridSpan w:val="2"/>
            <w:vMerge w:val="continue"/>
            <w:shd w:val="clear" w:color="auto" w:fill="F9BEA7" w:themeFill="accent6" w:themeFillTint="66"/>
          </w:tcPr>
          <w:p w14:paraId="2BAF6A56">
            <w:pPr>
              <w:spacing w:after="120" w:line="240" w:lineRule="auto"/>
              <w:jc w:val="both"/>
              <w:rPr>
                <w:rFonts w:cs="Calibri"/>
                <w:b/>
                <w:bCs/>
              </w:rPr>
            </w:pPr>
          </w:p>
        </w:tc>
        <w:tc>
          <w:tcPr>
            <w:tcW w:w="6480" w:type="dxa"/>
            <w:gridSpan w:val="2"/>
          </w:tcPr>
          <w:p w14:paraId="259706CA">
            <w:pPr>
              <w:spacing w:after="120" w:line="240" w:lineRule="auto"/>
              <w:jc w:val="both"/>
              <w:rPr>
                <w:rFonts w:cs="Calibri"/>
                <w:b/>
                <w:bCs/>
                <w:color w:val="F15E24" w:themeColor="accent6"/>
                <w14:textFill>
                  <w14:solidFill>
                    <w14:schemeClr w14:val="accent6"/>
                  </w14:solidFill>
                </w14:textFill>
              </w:rPr>
            </w:pPr>
            <w:r>
              <w:rPr>
                <w:rFonts w:cs="Calibri"/>
                <w:b/>
                <w:bCs/>
              </w:rPr>
              <w:t xml:space="preserve">Output Indicator 1.3: </w:t>
            </w:r>
            <w:r>
              <w:rPr>
                <w:rFonts w:cs="Calibri"/>
              </w:rPr>
              <w:t>Perceived effectiveness of workshop curriculum and materials on child marriage</w:t>
            </w:r>
          </w:p>
        </w:tc>
      </w:tr>
      <w:tr w14:paraId="623A47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770" w:type="dxa"/>
            <w:gridSpan w:val="2"/>
            <w:vMerge w:val="continue"/>
            <w:shd w:val="clear" w:color="auto" w:fill="F9BEA7" w:themeFill="accent6" w:themeFillTint="66"/>
          </w:tcPr>
          <w:p w14:paraId="0C949AE2">
            <w:pPr>
              <w:spacing w:after="120" w:line="240" w:lineRule="auto"/>
              <w:jc w:val="both"/>
              <w:rPr>
                <w:rFonts w:cs="Calibri"/>
                <w:b/>
                <w:bCs/>
              </w:rPr>
            </w:pPr>
          </w:p>
        </w:tc>
        <w:tc>
          <w:tcPr>
            <w:tcW w:w="6480" w:type="dxa"/>
            <w:gridSpan w:val="2"/>
          </w:tcPr>
          <w:p w14:paraId="3C068C1F">
            <w:pPr>
              <w:spacing w:after="120" w:line="240" w:lineRule="auto"/>
              <w:jc w:val="both"/>
              <w:rPr>
                <w:rFonts w:cs="Calibri"/>
                <w:b/>
                <w:bCs/>
              </w:rPr>
            </w:pPr>
            <w:r>
              <w:rPr>
                <w:rFonts w:cs="Calibri"/>
                <w:b/>
                <w:bCs/>
              </w:rPr>
              <w:t xml:space="preserve">Output Indicator 1.4: </w:t>
            </w:r>
            <w:r>
              <w:rPr>
                <w:rFonts w:cs="Calibri"/>
              </w:rPr>
              <w:t>Percentage of adolescent Roma girls in 10 target municipalities who are aware of the available support services and resources for child marriage prevention and mitigation including counselling, legal aid, shelters, and community-based programs</w:t>
            </w:r>
          </w:p>
        </w:tc>
      </w:tr>
      <w:tr w14:paraId="23AD89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770" w:type="dxa"/>
            <w:gridSpan w:val="2"/>
            <w:vMerge w:val="restart"/>
            <w:shd w:val="clear" w:color="auto" w:fill="F9BEA7" w:themeFill="accent6" w:themeFillTint="66"/>
            <w:vAlign w:val="center"/>
          </w:tcPr>
          <w:p w14:paraId="28A43540">
            <w:pPr>
              <w:spacing w:after="120" w:line="240" w:lineRule="auto"/>
              <w:jc w:val="center"/>
              <w:rPr>
                <w:rFonts w:cs="Calibri"/>
                <w:b/>
                <w:bCs/>
              </w:rPr>
            </w:pPr>
            <w:r>
              <w:rPr>
                <w:rFonts w:cs="Calibri"/>
                <w:b/>
                <w:bCs/>
              </w:rPr>
              <w:t xml:space="preserve">Output 2: </w:t>
            </w:r>
            <w:r>
              <w:rPr>
                <w:rFonts w:cs="Calibri"/>
              </w:rPr>
              <w:t>1200 Roma community members in target areas improved understanding of children's and women’s rights, child marriage, and skills to utilize the protective mechanisms to resist child marriages</w:t>
            </w:r>
          </w:p>
        </w:tc>
        <w:tc>
          <w:tcPr>
            <w:tcW w:w="6480" w:type="dxa"/>
            <w:gridSpan w:val="2"/>
          </w:tcPr>
          <w:p w14:paraId="733A6E7C">
            <w:pPr>
              <w:spacing w:after="120" w:line="240" w:lineRule="auto"/>
              <w:jc w:val="both"/>
              <w:rPr>
                <w:rFonts w:cs="Calibri"/>
                <w:b/>
                <w:bCs/>
                <w:color w:val="F15E24" w:themeColor="accent6"/>
                <w14:textFill>
                  <w14:solidFill>
                    <w14:schemeClr w14:val="accent6"/>
                  </w14:solidFill>
                </w14:textFill>
              </w:rPr>
            </w:pPr>
            <w:r>
              <w:rPr>
                <w:rFonts w:cs="Calibri"/>
                <w:b/>
                <w:bCs/>
              </w:rPr>
              <w:t xml:space="preserve">Output Indicator 2.1: </w:t>
            </w:r>
            <w:r>
              <w:rPr>
                <w:rFonts w:cs="Calibri"/>
              </w:rPr>
              <w:t>Number of Roma community members in 10 target municipalities who completed the training program of 16h (2h per 1.5 week for 12 weeks)</w:t>
            </w:r>
          </w:p>
        </w:tc>
      </w:tr>
      <w:tr w14:paraId="7CED56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770" w:type="dxa"/>
            <w:gridSpan w:val="2"/>
            <w:vMerge w:val="continue"/>
            <w:shd w:val="clear" w:color="auto" w:fill="F9BEA7" w:themeFill="accent6" w:themeFillTint="66"/>
          </w:tcPr>
          <w:p w14:paraId="537C0B4E">
            <w:pPr>
              <w:spacing w:after="120" w:line="240" w:lineRule="auto"/>
              <w:jc w:val="both"/>
              <w:rPr>
                <w:rFonts w:cs="Calibri"/>
                <w:b/>
                <w:bCs/>
              </w:rPr>
            </w:pPr>
          </w:p>
        </w:tc>
        <w:tc>
          <w:tcPr>
            <w:tcW w:w="6480" w:type="dxa"/>
            <w:gridSpan w:val="2"/>
          </w:tcPr>
          <w:p w14:paraId="6D33F28F">
            <w:pPr>
              <w:spacing w:after="120" w:line="240" w:lineRule="auto"/>
              <w:jc w:val="both"/>
              <w:rPr>
                <w:rFonts w:cs="Calibri"/>
                <w:b/>
                <w:bCs/>
                <w:color w:val="F15E24" w:themeColor="accent6"/>
                <w14:textFill>
                  <w14:solidFill>
                    <w14:schemeClr w14:val="accent6"/>
                  </w14:solidFill>
                </w14:textFill>
              </w:rPr>
            </w:pPr>
            <w:r>
              <w:rPr>
                <w:rFonts w:cs="Calibri"/>
                <w:b/>
                <w:bCs/>
              </w:rPr>
              <w:t xml:space="preserve">Output Indicator 2.2: </w:t>
            </w:r>
            <w:r>
              <w:rPr>
                <w:rFonts w:cs="Calibri"/>
              </w:rPr>
              <w:t>Percentage of Roma community members in 10 target municipalities that demonstrate improved understanding of children's and women's rights, child marriage, and utilization of protective mechanisms</w:t>
            </w:r>
          </w:p>
        </w:tc>
      </w:tr>
      <w:tr w14:paraId="58F63D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770" w:type="dxa"/>
            <w:gridSpan w:val="2"/>
            <w:vMerge w:val="continue"/>
            <w:shd w:val="clear" w:color="auto" w:fill="F9BEA7" w:themeFill="accent6" w:themeFillTint="66"/>
          </w:tcPr>
          <w:p w14:paraId="2809F2D9">
            <w:pPr>
              <w:spacing w:after="120" w:line="240" w:lineRule="auto"/>
              <w:jc w:val="both"/>
              <w:rPr>
                <w:rFonts w:cs="Calibri"/>
                <w:b/>
                <w:bCs/>
              </w:rPr>
            </w:pPr>
          </w:p>
        </w:tc>
        <w:tc>
          <w:tcPr>
            <w:tcW w:w="6480" w:type="dxa"/>
            <w:gridSpan w:val="2"/>
          </w:tcPr>
          <w:p w14:paraId="07D0310C">
            <w:pPr>
              <w:spacing w:after="120" w:line="240" w:lineRule="auto"/>
              <w:jc w:val="both"/>
              <w:rPr>
                <w:rFonts w:cs="Calibri"/>
                <w:b/>
                <w:bCs/>
                <w:color w:val="F15E24" w:themeColor="accent6"/>
                <w14:textFill>
                  <w14:solidFill>
                    <w14:schemeClr w14:val="accent6"/>
                  </w14:solidFill>
                </w14:textFill>
              </w:rPr>
            </w:pPr>
            <w:r>
              <w:rPr>
                <w:rFonts w:cs="Calibri"/>
                <w:b/>
                <w:bCs/>
              </w:rPr>
              <w:t xml:space="preserve">Output Indicator 2.3: </w:t>
            </w:r>
            <w:r>
              <w:rPr>
                <w:rFonts w:cs="Calibri"/>
              </w:rPr>
              <w:t>Number of Roma community members engaged actively in workshops, community events, and advocacy efforts aimed at improving understanding and resistance to child marriages</w:t>
            </w:r>
          </w:p>
        </w:tc>
      </w:tr>
      <w:tr w14:paraId="79AB72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770" w:type="dxa"/>
            <w:gridSpan w:val="2"/>
            <w:vMerge w:val="continue"/>
            <w:shd w:val="clear" w:color="auto" w:fill="F9BEA7" w:themeFill="accent6" w:themeFillTint="66"/>
          </w:tcPr>
          <w:p w14:paraId="3BD7B369">
            <w:pPr>
              <w:spacing w:after="120" w:line="240" w:lineRule="auto"/>
              <w:jc w:val="both"/>
              <w:rPr>
                <w:rFonts w:cs="Calibri"/>
                <w:b/>
                <w:bCs/>
              </w:rPr>
            </w:pPr>
          </w:p>
        </w:tc>
        <w:tc>
          <w:tcPr>
            <w:tcW w:w="6480" w:type="dxa"/>
            <w:gridSpan w:val="2"/>
          </w:tcPr>
          <w:p w14:paraId="5D0A92B8">
            <w:pPr>
              <w:spacing w:after="120" w:line="240" w:lineRule="auto"/>
              <w:jc w:val="both"/>
              <w:rPr>
                <w:rFonts w:cs="Calibri"/>
                <w:b/>
                <w:bCs/>
              </w:rPr>
            </w:pPr>
            <w:r>
              <w:rPr>
                <w:rFonts w:cs="Calibri"/>
                <w:b/>
                <w:bCs/>
              </w:rPr>
              <w:t xml:space="preserve">Output Indicator 2.4: </w:t>
            </w:r>
            <w:r>
              <w:rPr>
                <w:rFonts w:cs="Calibri"/>
              </w:rPr>
              <w:t>Perceived effectiveness of workshop curriculum and materials on child marriage</w:t>
            </w:r>
          </w:p>
        </w:tc>
      </w:tr>
      <w:tr w14:paraId="168DC4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7" w:hRule="atLeast"/>
        </w:trPr>
        <w:tc>
          <w:tcPr>
            <w:tcW w:w="11250" w:type="dxa"/>
            <w:gridSpan w:val="4"/>
            <w:shd w:val="clear" w:color="auto" w:fill="F36BD8" w:themeFill="accent2" w:themeFillShade="BF"/>
          </w:tcPr>
          <w:p w14:paraId="69485264">
            <w:pPr>
              <w:spacing w:after="120" w:line="240" w:lineRule="auto"/>
              <w:jc w:val="center"/>
              <w:rPr>
                <w:rFonts w:cs="Calibri"/>
                <w:b/>
                <w:bCs/>
              </w:rPr>
            </w:pPr>
            <w:r>
              <w:rPr>
                <w:rFonts w:cs="Calibri"/>
                <w:b/>
                <w:bCs/>
              </w:rPr>
              <w:t>Outcome 2: By 2026, Roma communities in target areas decrease their acceptance of child marriages and actively resist their harmful consequences.</w:t>
            </w:r>
          </w:p>
        </w:tc>
      </w:tr>
      <w:tr w14:paraId="1859EA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7" w:hRule="atLeast"/>
        </w:trPr>
        <w:tc>
          <w:tcPr>
            <w:tcW w:w="3690" w:type="dxa"/>
          </w:tcPr>
          <w:p w14:paraId="765B2547">
            <w:pPr>
              <w:spacing w:after="120" w:line="240" w:lineRule="auto"/>
              <w:jc w:val="center"/>
              <w:rPr>
                <w:rFonts w:cs="Calibri"/>
                <w:b/>
                <w:bCs/>
              </w:rPr>
            </w:pPr>
            <w:r>
              <w:rPr>
                <w:rFonts w:cs="Calibri"/>
                <w:b/>
                <w:bCs/>
              </w:rPr>
              <w:t xml:space="preserve">Outcome Indicator 2.1: </w:t>
            </w:r>
            <w:r>
              <w:rPr>
                <w:rFonts w:cs="Calibri"/>
              </w:rPr>
              <w:t>Number of local municipalities with established mechanisms for implementation of the signed Protocol for the advancement of cooperation and development of integrative social protection of women victims of family and partner violence in cases of child marriages at the local level</w:t>
            </w:r>
          </w:p>
        </w:tc>
        <w:tc>
          <w:tcPr>
            <w:tcW w:w="3600" w:type="dxa"/>
            <w:gridSpan w:val="2"/>
          </w:tcPr>
          <w:p w14:paraId="21B1FC59">
            <w:pPr>
              <w:spacing w:after="120" w:line="240" w:lineRule="auto"/>
              <w:jc w:val="center"/>
              <w:rPr>
                <w:rFonts w:cs="Calibri"/>
                <w:b/>
                <w:bCs/>
              </w:rPr>
            </w:pPr>
            <w:r>
              <w:rPr>
                <w:rFonts w:cs="Calibri"/>
                <w:b/>
                <w:bCs/>
              </w:rPr>
              <w:t xml:space="preserve">Outcome Indicator 2.1: </w:t>
            </w:r>
            <w:r>
              <w:rPr>
                <w:rFonts w:cs="Calibri"/>
              </w:rPr>
              <w:t>Percentage of Roma Women Network activists in 10 target municipalities who demonstrate sustained engagement with municipal authorities on child marriage prevention through participation in all four collaboration mechanisms</w:t>
            </w:r>
          </w:p>
        </w:tc>
        <w:tc>
          <w:tcPr>
            <w:tcW w:w="3960" w:type="dxa"/>
          </w:tcPr>
          <w:p w14:paraId="32203339">
            <w:pPr>
              <w:spacing w:after="120" w:line="240" w:lineRule="auto"/>
              <w:jc w:val="center"/>
              <w:rPr>
                <w:rFonts w:cs="Calibri"/>
                <w:b/>
                <w:bCs/>
              </w:rPr>
            </w:pPr>
            <w:r>
              <w:rPr>
                <w:rFonts w:cs="Calibri"/>
                <w:b/>
                <w:bCs/>
              </w:rPr>
              <w:t xml:space="preserve">Outcome Indicator 2.3: </w:t>
            </w:r>
            <w:r>
              <w:rPr>
                <w:rFonts w:cs="Calibri"/>
              </w:rPr>
              <w:t>Number of successful advocacy initiatives led by the local coalitions in 10 target municipalities to address child marriage issues at the municipality level</w:t>
            </w:r>
          </w:p>
        </w:tc>
      </w:tr>
      <w:tr w14:paraId="37F526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770" w:type="dxa"/>
            <w:gridSpan w:val="2"/>
            <w:vMerge w:val="restart"/>
            <w:shd w:val="clear" w:color="auto" w:fill="F9BEA7" w:themeFill="accent6" w:themeFillTint="66"/>
            <w:vAlign w:val="center"/>
          </w:tcPr>
          <w:p w14:paraId="0F38588E">
            <w:pPr>
              <w:spacing w:after="120" w:line="240" w:lineRule="auto"/>
              <w:jc w:val="center"/>
              <w:rPr>
                <w:rFonts w:cs="Calibri"/>
                <w:b/>
                <w:bCs/>
              </w:rPr>
            </w:pPr>
            <w:r>
              <w:rPr>
                <w:rFonts w:cs="Calibri"/>
                <w:b/>
                <w:bCs/>
              </w:rPr>
              <w:t xml:space="preserve">Output 3: </w:t>
            </w:r>
            <w:r>
              <w:rPr>
                <w:rFonts w:cs="Calibri"/>
              </w:rPr>
              <w:t>Local coalitions established in 10 target municipalities and acquired skills to apply a multi-sector approach in preventing and responding to cases of child marriages.</w:t>
            </w:r>
          </w:p>
        </w:tc>
        <w:tc>
          <w:tcPr>
            <w:tcW w:w="6480" w:type="dxa"/>
            <w:gridSpan w:val="2"/>
          </w:tcPr>
          <w:p w14:paraId="7FAA00FF">
            <w:pPr>
              <w:spacing w:after="120" w:line="240" w:lineRule="auto"/>
              <w:jc w:val="both"/>
              <w:rPr>
                <w:rFonts w:cs="Calibri"/>
                <w:b/>
                <w:bCs/>
                <w:color w:val="F15E24" w:themeColor="accent6"/>
                <w14:textFill>
                  <w14:solidFill>
                    <w14:schemeClr w14:val="accent6"/>
                  </w14:solidFill>
                </w14:textFill>
              </w:rPr>
            </w:pPr>
            <w:r>
              <w:rPr>
                <w:rFonts w:cs="Calibri"/>
                <w:b/>
                <w:bCs/>
              </w:rPr>
              <w:t xml:space="preserve">Output Indicator 3.1: </w:t>
            </w:r>
            <w:r>
              <w:rPr>
                <w:rFonts w:cs="Calibri"/>
              </w:rPr>
              <w:t>Number of local coalitions established in 10 target municipalities to lead, coordinate, and advocate efforts to prevent and eliminate child marriage including the sub-national protocol on child marriage</w:t>
            </w:r>
          </w:p>
        </w:tc>
      </w:tr>
      <w:tr w14:paraId="75BBA9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770" w:type="dxa"/>
            <w:gridSpan w:val="2"/>
            <w:vMerge w:val="continue"/>
            <w:shd w:val="clear" w:color="auto" w:fill="F9BEA7" w:themeFill="accent6" w:themeFillTint="66"/>
          </w:tcPr>
          <w:p w14:paraId="52D02419">
            <w:pPr>
              <w:spacing w:after="120" w:line="240" w:lineRule="auto"/>
              <w:jc w:val="both"/>
              <w:rPr>
                <w:rFonts w:cs="Calibri"/>
                <w:b/>
                <w:bCs/>
              </w:rPr>
            </w:pPr>
          </w:p>
        </w:tc>
        <w:tc>
          <w:tcPr>
            <w:tcW w:w="6480" w:type="dxa"/>
            <w:gridSpan w:val="2"/>
          </w:tcPr>
          <w:p w14:paraId="1605C0A1">
            <w:pPr>
              <w:spacing w:after="120" w:line="240" w:lineRule="auto"/>
              <w:jc w:val="both"/>
              <w:rPr>
                <w:rFonts w:cs="Calibri"/>
                <w:b/>
                <w:bCs/>
                <w:color w:val="F15E24" w:themeColor="accent6"/>
                <w14:textFill>
                  <w14:solidFill>
                    <w14:schemeClr w14:val="accent6"/>
                  </w14:solidFill>
                </w14:textFill>
              </w:rPr>
            </w:pPr>
            <w:r>
              <w:rPr>
                <w:rFonts w:cs="Calibri"/>
                <w:b/>
                <w:bCs/>
              </w:rPr>
              <w:t xml:space="preserve">Output Indicator 3.2: </w:t>
            </w:r>
            <w:r>
              <w:rPr>
                <w:rFonts w:cs="Calibri"/>
              </w:rPr>
              <w:t>Percentage of local coalition members who demonstrate improved knowledge to coordinate, and advocate efforts to prevent and eliminate child marriage</w:t>
            </w:r>
          </w:p>
        </w:tc>
      </w:tr>
      <w:tr w14:paraId="6646B1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770" w:type="dxa"/>
            <w:gridSpan w:val="2"/>
            <w:vMerge w:val="continue"/>
            <w:shd w:val="clear" w:color="auto" w:fill="F9BEA7" w:themeFill="accent6" w:themeFillTint="66"/>
          </w:tcPr>
          <w:p w14:paraId="3B5E576A">
            <w:pPr>
              <w:spacing w:after="120" w:line="240" w:lineRule="auto"/>
              <w:jc w:val="both"/>
              <w:rPr>
                <w:rFonts w:cs="Calibri"/>
                <w:b/>
                <w:bCs/>
              </w:rPr>
            </w:pPr>
          </w:p>
        </w:tc>
        <w:tc>
          <w:tcPr>
            <w:tcW w:w="6480" w:type="dxa"/>
            <w:gridSpan w:val="2"/>
          </w:tcPr>
          <w:p w14:paraId="2D4C618A">
            <w:pPr>
              <w:spacing w:after="120" w:line="240" w:lineRule="auto"/>
              <w:jc w:val="both"/>
              <w:rPr>
                <w:rFonts w:cs="Calibri"/>
                <w:b/>
                <w:bCs/>
                <w:color w:val="F15E24" w:themeColor="accent6"/>
                <w14:textFill>
                  <w14:solidFill>
                    <w14:schemeClr w14:val="accent6"/>
                  </w14:solidFill>
                </w14:textFill>
              </w:rPr>
            </w:pPr>
            <w:r>
              <w:rPr>
                <w:rFonts w:cs="Calibri"/>
                <w:b/>
                <w:bCs/>
              </w:rPr>
              <w:t xml:space="preserve">Output Indicator 3.3: </w:t>
            </w:r>
            <w:r>
              <w:rPr>
                <w:rFonts w:cs="Calibri"/>
              </w:rPr>
              <w:t>Number of municipalities with designated focal points/officials responsible for child marriage prevention and response</w:t>
            </w:r>
          </w:p>
        </w:tc>
      </w:tr>
      <w:tr w14:paraId="2274DE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770" w:type="dxa"/>
            <w:gridSpan w:val="2"/>
            <w:vMerge w:val="continue"/>
            <w:shd w:val="clear" w:color="auto" w:fill="F9BEA7" w:themeFill="accent6" w:themeFillTint="66"/>
          </w:tcPr>
          <w:p w14:paraId="1BDC79C3">
            <w:pPr>
              <w:spacing w:after="120" w:line="240" w:lineRule="auto"/>
              <w:jc w:val="both"/>
              <w:rPr>
                <w:rFonts w:cs="Calibri"/>
                <w:b/>
                <w:bCs/>
              </w:rPr>
            </w:pPr>
          </w:p>
        </w:tc>
        <w:tc>
          <w:tcPr>
            <w:tcW w:w="6480" w:type="dxa"/>
            <w:gridSpan w:val="2"/>
          </w:tcPr>
          <w:p w14:paraId="7437F9BE">
            <w:pPr>
              <w:spacing w:after="120" w:line="240" w:lineRule="auto"/>
              <w:jc w:val="both"/>
              <w:rPr>
                <w:rFonts w:cs="Calibri"/>
                <w:b/>
                <w:bCs/>
              </w:rPr>
            </w:pPr>
            <w:r>
              <w:rPr>
                <w:rFonts w:cs="Calibri"/>
                <w:b/>
                <w:bCs/>
              </w:rPr>
              <w:t xml:space="preserve">Output Indicator 3.4: </w:t>
            </w:r>
            <w:r>
              <w:rPr>
                <w:rFonts w:cs="Calibri"/>
              </w:rPr>
              <w:t>Number of municipalities that have advocated for and/or have created a working document/public policy/ local strategy for prevention of child marriages</w:t>
            </w:r>
          </w:p>
        </w:tc>
      </w:tr>
      <w:tr w14:paraId="47DED7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770" w:type="dxa"/>
            <w:gridSpan w:val="2"/>
            <w:vMerge w:val="restart"/>
            <w:shd w:val="clear" w:color="auto" w:fill="F9BEA7" w:themeFill="accent6" w:themeFillTint="66"/>
            <w:vAlign w:val="center"/>
          </w:tcPr>
          <w:p w14:paraId="411117E2">
            <w:pPr>
              <w:spacing w:after="120" w:line="240" w:lineRule="auto"/>
              <w:jc w:val="center"/>
              <w:rPr>
                <w:rFonts w:cs="Calibri"/>
                <w:b/>
                <w:bCs/>
              </w:rPr>
            </w:pPr>
            <w:r>
              <w:rPr>
                <w:rFonts w:cs="Calibri"/>
                <w:b/>
                <w:bCs/>
              </w:rPr>
              <w:t xml:space="preserve">Output 4: </w:t>
            </w:r>
            <w:r>
              <w:rPr>
                <w:rFonts w:cs="Calibri"/>
              </w:rPr>
              <w:t>30 Roma Women Network activists enhanced their understanding of protection mechanisms and acquired skills to work with municipal systems, identify areas of influence, and effectively utilize available resources</w:t>
            </w:r>
          </w:p>
        </w:tc>
        <w:tc>
          <w:tcPr>
            <w:tcW w:w="6480" w:type="dxa"/>
            <w:gridSpan w:val="2"/>
          </w:tcPr>
          <w:p w14:paraId="47CE13EA">
            <w:pPr>
              <w:spacing w:after="120" w:line="240" w:lineRule="auto"/>
              <w:jc w:val="both"/>
              <w:rPr>
                <w:rFonts w:cs="Calibri"/>
                <w:b/>
                <w:bCs/>
                <w:color w:val="F15E24" w:themeColor="accent6"/>
                <w14:textFill>
                  <w14:solidFill>
                    <w14:schemeClr w14:val="accent6"/>
                  </w14:solidFill>
                </w14:textFill>
              </w:rPr>
            </w:pPr>
            <w:r>
              <w:rPr>
                <w:rFonts w:cs="Calibri"/>
                <w:b/>
                <w:bCs/>
              </w:rPr>
              <w:t xml:space="preserve">Output Indicator 4.1: </w:t>
            </w:r>
            <w:r>
              <w:rPr>
                <w:rFonts w:cs="Calibri"/>
              </w:rPr>
              <w:t>Percentage of Roma Women Network activists from 10 target municipalities that improve understanding of protection mechanisms and the structure and functioning of the local government</w:t>
            </w:r>
          </w:p>
        </w:tc>
      </w:tr>
      <w:tr w14:paraId="6DFBAC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770" w:type="dxa"/>
            <w:gridSpan w:val="2"/>
            <w:vMerge w:val="continue"/>
            <w:shd w:val="clear" w:color="auto" w:fill="F9BEA7" w:themeFill="accent6" w:themeFillTint="66"/>
          </w:tcPr>
          <w:p w14:paraId="4AFFB9AD">
            <w:pPr>
              <w:spacing w:after="120" w:line="240" w:lineRule="auto"/>
              <w:jc w:val="both"/>
              <w:rPr>
                <w:rFonts w:cs="Calibri"/>
                <w:b/>
                <w:bCs/>
              </w:rPr>
            </w:pPr>
          </w:p>
        </w:tc>
        <w:tc>
          <w:tcPr>
            <w:tcW w:w="6480" w:type="dxa"/>
            <w:gridSpan w:val="2"/>
          </w:tcPr>
          <w:p w14:paraId="4F82F4F1">
            <w:pPr>
              <w:spacing w:after="120" w:line="240" w:lineRule="auto"/>
              <w:jc w:val="both"/>
              <w:rPr>
                <w:rFonts w:cs="Calibri"/>
                <w:b/>
                <w:bCs/>
                <w:color w:val="F15E24" w:themeColor="accent6"/>
                <w14:textFill>
                  <w14:solidFill>
                    <w14:schemeClr w14:val="accent6"/>
                  </w14:solidFill>
                </w14:textFill>
              </w:rPr>
            </w:pPr>
            <w:r>
              <w:rPr>
                <w:rFonts w:cs="Calibri"/>
                <w:b/>
                <w:bCs/>
              </w:rPr>
              <w:t xml:space="preserve">Output Indicator 4.2: </w:t>
            </w:r>
            <w:r>
              <w:rPr>
                <w:rFonts w:cs="Calibri"/>
              </w:rPr>
              <w:t>Perceived effectiveness of workshop curriculum and materials on child marriage for Roma Women Network activists</w:t>
            </w:r>
          </w:p>
        </w:tc>
      </w:tr>
      <w:tr w14:paraId="36FEC2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770" w:type="dxa"/>
            <w:gridSpan w:val="2"/>
            <w:vMerge w:val="continue"/>
            <w:shd w:val="clear" w:color="auto" w:fill="F9BEA7" w:themeFill="accent6" w:themeFillTint="66"/>
          </w:tcPr>
          <w:p w14:paraId="6B0BDFE6">
            <w:pPr>
              <w:spacing w:after="120" w:line="240" w:lineRule="auto"/>
              <w:jc w:val="both"/>
              <w:rPr>
                <w:rFonts w:cs="Calibri"/>
                <w:b/>
                <w:bCs/>
              </w:rPr>
            </w:pPr>
          </w:p>
        </w:tc>
        <w:tc>
          <w:tcPr>
            <w:tcW w:w="6480" w:type="dxa"/>
            <w:gridSpan w:val="2"/>
          </w:tcPr>
          <w:p w14:paraId="419973DD">
            <w:pPr>
              <w:spacing w:after="120" w:line="240" w:lineRule="auto"/>
              <w:jc w:val="both"/>
              <w:rPr>
                <w:rFonts w:cs="Calibri"/>
                <w:b/>
                <w:bCs/>
                <w:color w:val="F15E24" w:themeColor="accent6"/>
                <w14:textFill>
                  <w14:solidFill>
                    <w14:schemeClr w14:val="accent6"/>
                  </w14:solidFill>
                </w14:textFill>
              </w:rPr>
            </w:pPr>
            <w:r>
              <w:rPr>
                <w:rFonts w:cs="Calibri"/>
                <w:b/>
                <w:bCs/>
              </w:rPr>
              <w:t xml:space="preserve">Output Indicator 4.3: </w:t>
            </w:r>
            <w:r>
              <w:rPr>
                <w:rFonts w:cs="Calibri"/>
              </w:rPr>
              <w:t>Percentage of Roma Women Network activists reporting increased confidence in working with municipal systems</w:t>
            </w:r>
          </w:p>
        </w:tc>
      </w:tr>
    </w:tbl>
    <w:p w14:paraId="7D5F6191">
      <w:pPr>
        <w:spacing w:after="120" w:line="240" w:lineRule="auto"/>
        <w:jc w:val="both"/>
        <w:rPr>
          <w:rFonts w:cs="Calibri"/>
          <w:b/>
          <w:bCs/>
          <w:color w:val="F15E24" w:themeColor="accent6"/>
          <w14:textFill>
            <w14:solidFill>
              <w14:schemeClr w14:val="accent6"/>
            </w14:solidFill>
          </w14:textFill>
        </w:rPr>
      </w:pPr>
    </w:p>
    <w:p w14:paraId="5683D485">
      <w:pPr>
        <w:spacing w:after="120" w:line="240" w:lineRule="auto"/>
        <w:jc w:val="both"/>
        <w:rPr>
          <w:rFonts w:cs="Calibri"/>
          <w:b/>
          <w:bCs/>
          <w:color w:val="F15E24" w:themeColor="accent6"/>
          <w14:textFill>
            <w14:solidFill>
              <w14:schemeClr w14:val="accent6"/>
            </w14:solidFill>
          </w14:textFill>
        </w:rPr>
      </w:pPr>
    </w:p>
    <w:p w14:paraId="387E0E8C">
      <w:pPr>
        <w:pStyle w:val="2"/>
      </w:pPr>
      <w:bookmarkStart w:id="5" w:name="_Toc237970487"/>
      <w:r>
        <w:t>PURPOSE, SCOPE AND OBJECTIVES OF THE EVALUATION</w:t>
      </w:r>
      <w:bookmarkEnd w:id="5"/>
    </w:p>
    <w:p w14:paraId="62FC519F">
      <w:pPr>
        <w:pStyle w:val="44"/>
        <w:numPr>
          <w:ilvl w:val="0"/>
          <w:numId w:val="5"/>
        </w:numPr>
        <w:spacing w:after="120" w:line="240" w:lineRule="auto"/>
        <w:jc w:val="both"/>
        <w:rPr>
          <w:rFonts w:cs="Calibri"/>
          <w:b/>
          <w:bCs/>
          <w:vanish/>
          <w:color w:val="F15E24" w:themeColor="accent6"/>
          <w14:textFill>
            <w14:solidFill>
              <w14:schemeClr w14:val="accent6"/>
            </w14:solidFill>
          </w14:textFill>
        </w:rPr>
      </w:pPr>
    </w:p>
    <w:p w14:paraId="39696AB7">
      <w:pPr>
        <w:pStyle w:val="3"/>
      </w:pPr>
      <w:bookmarkStart w:id="6" w:name="_Toc237970488"/>
      <w:r>
        <w:t>PURPOSE OF THE EVALUATION</w:t>
      </w:r>
      <w:bookmarkEnd w:id="6"/>
      <w:r>
        <w:t xml:space="preserve"> </w:t>
      </w:r>
    </w:p>
    <w:p w14:paraId="72333AD0">
      <w:pPr>
        <w:spacing w:after="120" w:line="240" w:lineRule="auto"/>
        <w:jc w:val="both"/>
        <w:rPr>
          <w:rFonts w:cs="Calibri"/>
          <w:color w:val="000000" w:themeColor="text1"/>
          <w14:textFill>
            <w14:solidFill>
              <w14:schemeClr w14:val="tx1"/>
            </w14:solidFill>
          </w14:textFill>
        </w:rPr>
      </w:pPr>
      <w:r>
        <w:rPr>
          <w:rFonts w:cs="Calibri"/>
          <w:color w:val="000000" w:themeColor="text1"/>
          <w14:textFill>
            <w14:solidFill>
              <w14:schemeClr w14:val="tx1"/>
            </w14:solidFill>
          </w14:textFill>
        </w:rPr>
        <w:t xml:space="preserve">The purpose of the final external evaluation is to independently assess the relevance, effectiveness, efficiency, impact, and sustainability of the project “Roma women activism against child marriages in Serbia.” The evaluation will determine the extent to which the project achieved its intended objectives in working with the Roma community and local institutions in 10 project municipalities; assess the quality and effectiveness of its implementation, and identify lessons learned, good practices, as well as areas for improvement that can inform future programming. The evaluation will assess the project's strategic approach, which combined Roma community empowerment with institutional engagement through education, dialogue, capacity building, collaboration with stakeholders, and advocacy. Particular attention will be given to the project's contribution to strengthening the capacities of Roma women activists, increasing knowledge and developing skills among Roma girls, families, and communities, improving cooperation between local institutions and Roma women's organisations, and promoting institutional accountability and efficiency in responding to child marriages. </w:t>
      </w:r>
    </w:p>
    <w:p w14:paraId="12355733">
      <w:pPr>
        <w:spacing w:after="120" w:line="240" w:lineRule="auto"/>
        <w:jc w:val="both"/>
        <w:rPr>
          <w:rFonts w:cs="Calibri"/>
          <w:color w:val="000000" w:themeColor="text1"/>
          <w14:textFill>
            <w14:solidFill>
              <w14:schemeClr w14:val="tx1"/>
            </w14:solidFill>
          </w14:textFill>
        </w:rPr>
      </w:pPr>
      <w:r>
        <w:rPr>
          <w:rFonts w:cs="Calibri"/>
          <w:color w:val="000000" w:themeColor="text1"/>
          <w14:textFill>
            <w14:solidFill>
              <w14:schemeClr w14:val="tx1"/>
            </w14:solidFill>
          </w14:textFill>
        </w:rPr>
        <w:t>The evaluation is intended to provide accountability to the donor and synthesise the impact of the implementing partner by assessing whether project resources were used effectively and whether planned results were achieved. At the same time, it aims to generate practical learning for the Roma Women's Centre Bibija, the Roma Women's Network (RWN), partner organisations, and relevant public institutions engaged in preventing child marriages and protecting the rights of Roma girls in Serbia. The findings will support evidence-based decision-making for the design of future interventions and projects, strengthen evidence-based learning, contribute to improving policies and practices, as well as strengthen advocacy efforts to prevent and address child marriages within Roma communities in Serbia.</w:t>
      </w:r>
    </w:p>
    <w:p w14:paraId="69291B78">
      <w:pPr>
        <w:spacing w:after="120" w:line="240" w:lineRule="auto"/>
        <w:jc w:val="both"/>
        <w:rPr>
          <w:rFonts w:cs="Calibri"/>
          <w:color w:val="000000" w:themeColor="text1"/>
          <w14:textFill>
            <w14:solidFill>
              <w14:schemeClr w14:val="tx1"/>
            </w14:solidFill>
          </w14:textFill>
        </w:rPr>
      </w:pPr>
      <w:r>
        <w:rPr>
          <w:rFonts w:cs="Calibri"/>
          <w:color w:val="000000" w:themeColor="text1"/>
          <w14:textFill>
            <w14:solidFill>
              <w14:schemeClr w14:val="tx1"/>
            </w14:solidFill>
          </w14:textFill>
        </w:rPr>
        <w:t>The primary users of the evaluation findings will be the project implementing organisation, Roma Women's Centre Bibija, members of the Roma Women's Network, the UN Trust Fund to end Violence against Women and Girls as the donor, participating local organisations, and relevant institutional stakeholders, including local governments, social care centres, educational institutions, healthcare providers, and law enforcement authorities. The evaluation will examine whether the project responded to the needs of the target groups, achieved its expected results, and contributed to sustainable changes in knowledge, attitudes, partnerships, and institutional practices. It will also assess any social, institutional, and/or political factors that facilitated or hindered implementation and identify opportunities for improving approaches. Ultimately, the evaluation seeks not only to measure project performance but also to provide actionable recommendations that will strengthen future interventions to prevent child marriages and improve the protection and empowerment of Roma girls and women in Serbia.</w:t>
      </w:r>
    </w:p>
    <w:p w14:paraId="3296F0F5">
      <w:pPr>
        <w:spacing w:after="120" w:line="240" w:lineRule="auto"/>
        <w:jc w:val="both"/>
        <w:rPr>
          <w:rFonts w:cs="Calibri"/>
          <w:color w:val="000000" w:themeColor="text1"/>
          <w14:textFill>
            <w14:solidFill>
              <w14:schemeClr w14:val="tx1"/>
            </w14:solidFill>
          </w14:textFill>
        </w:rPr>
      </w:pPr>
    </w:p>
    <w:p w14:paraId="6C6C8595">
      <w:pPr>
        <w:pStyle w:val="3"/>
      </w:pPr>
      <w:bookmarkStart w:id="7" w:name="_Toc237970489"/>
      <w:r>
        <w:t>OBJECTIVES OF THE EVALUATION</w:t>
      </w:r>
      <w:bookmarkEnd w:id="7"/>
      <w:r>
        <w:t xml:space="preserve"> </w:t>
      </w:r>
    </w:p>
    <w:p w14:paraId="125C8AD5">
      <w:pPr>
        <w:numPr>
          <w:ilvl w:val="0"/>
          <w:numId w:val="6"/>
        </w:numPr>
        <w:spacing w:after="120" w:line="240" w:lineRule="auto"/>
        <w:jc w:val="both"/>
        <w:rPr>
          <w:rFonts w:cs="Calibri"/>
          <w:b/>
          <w:szCs w:val="22"/>
        </w:rPr>
      </w:pPr>
      <w:r>
        <w:rPr>
          <w:rFonts w:cs="Calibri"/>
          <w:b/>
          <w:szCs w:val="22"/>
        </w:rPr>
        <w:t>To evaluate the entire project</w:t>
      </w:r>
      <w:r>
        <w:rPr>
          <w:rFonts w:cs="Calibri"/>
          <w:szCs w:val="22"/>
        </w:rPr>
        <w:t xml:space="preserve"> [</w:t>
      </w:r>
      <w:r>
        <w:rPr>
          <w:rFonts w:cs="Calibri"/>
          <w:iCs/>
          <w:szCs w:val="22"/>
        </w:rPr>
        <w:t>01/10/2023-30/09/2026],</w:t>
      </w:r>
      <w:r>
        <w:rPr>
          <w:rFonts w:cs="Calibri"/>
          <w:szCs w:val="22"/>
        </w:rPr>
        <w:t xml:space="preserve"> against the effectiveness, relevance, coherence, efficiency, sustainability, knowledge generation and impact criteria, as well as the cross-cutting gender equality and human rights criteria (</w:t>
      </w:r>
      <w:r>
        <w:rPr>
          <w:rFonts w:cs="Calibri"/>
          <w:i/>
          <w:szCs w:val="22"/>
        </w:rPr>
        <w:t>defined below</w:t>
      </w:r>
      <w:r>
        <w:rPr>
          <w:rFonts w:cs="Calibri"/>
          <w:szCs w:val="22"/>
        </w:rPr>
        <w:t>);</w:t>
      </w:r>
    </w:p>
    <w:p w14:paraId="0346C85A">
      <w:pPr>
        <w:numPr>
          <w:ilvl w:val="0"/>
          <w:numId w:val="6"/>
        </w:numPr>
        <w:spacing w:after="120" w:line="240" w:lineRule="auto"/>
        <w:jc w:val="both"/>
        <w:rPr>
          <w:rFonts w:cs="Calibri"/>
          <w:b/>
          <w:i/>
          <w:szCs w:val="22"/>
        </w:rPr>
      </w:pPr>
      <w:r>
        <w:rPr>
          <w:rFonts w:cs="Calibri"/>
          <w:b/>
          <w:szCs w:val="22"/>
        </w:rPr>
        <w:t>To identify key lessons and promising or emerging good practices</w:t>
      </w:r>
      <w:r>
        <w:rPr>
          <w:rFonts w:cs="Calibri"/>
          <w:szCs w:val="22"/>
        </w:rPr>
        <w:t xml:space="preserve"> in the field of ending violence against women and girls, for learning purposes </w:t>
      </w:r>
    </w:p>
    <w:p w14:paraId="24ED2EE5">
      <w:pPr>
        <w:spacing w:after="120" w:line="240" w:lineRule="auto"/>
        <w:jc w:val="both"/>
        <w:rPr>
          <w:rFonts w:cs="Calibri"/>
        </w:rPr>
      </w:pPr>
    </w:p>
    <w:p w14:paraId="484A93EE">
      <w:pPr>
        <w:pStyle w:val="3"/>
      </w:pPr>
      <w:bookmarkStart w:id="8" w:name="_Toc237970490"/>
      <w:r>
        <w:t>SCOPE OF THE EVALUATION</w:t>
      </w:r>
      <w:bookmarkEnd w:id="8"/>
      <w:r>
        <w:t xml:space="preserve"> </w:t>
      </w:r>
    </w:p>
    <w:p w14:paraId="6A5D15DD">
      <w:pPr>
        <w:pStyle w:val="4"/>
        <w:ind w:left="1440"/>
      </w:pPr>
      <w:bookmarkStart w:id="9" w:name="_Toc237970491"/>
      <w:r>
        <w:t>Timeframe</w:t>
      </w:r>
      <w:bookmarkEnd w:id="9"/>
    </w:p>
    <w:p w14:paraId="44817EFC">
      <w:pPr>
        <w:jc w:val="both"/>
      </w:pPr>
      <w:r>
        <w:t>The evaluation is expected to cover the entire project period, from October 2023 to September 2026.</w:t>
      </w:r>
    </w:p>
    <w:p w14:paraId="23F4723F">
      <w:pPr>
        <w:pStyle w:val="4"/>
        <w:ind w:left="1440"/>
        <w:jc w:val="both"/>
      </w:pPr>
      <w:bookmarkStart w:id="10" w:name="_Toc237970492"/>
      <w:r>
        <w:t>Geographic Coverage</w:t>
      </w:r>
      <w:bookmarkEnd w:id="10"/>
    </w:p>
    <w:p w14:paraId="545BB1F3">
      <w:pPr>
        <w:jc w:val="both"/>
      </w:pPr>
      <w:r>
        <w:t xml:space="preserve">The project was implemented in 10 project municipalities across Serbia. Those include: Bujanovac, Kostolac, Kragujevac, Kruševac, Leskovac, Mirijevo, Pirot, Voždovac, Vranje, and Žabalj. The evaluation is expected to cover at least 4 sites and regions, selected to reflect variation in geography, implementation performance, and beneficiary profiles. The evaluator should explicitly state in their application whether they propose to cover all project municipalities or a sample. If a sample is proposed, the evaluator must state how sites are selected and how they relate to the full project geography. This needs to be approved by Evaluation Task Managers. </w:t>
      </w:r>
    </w:p>
    <w:p w14:paraId="59C363FF">
      <w:pPr>
        <w:pStyle w:val="4"/>
        <w:ind w:left="1440"/>
        <w:jc w:val="both"/>
      </w:pPr>
      <w:bookmarkStart w:id="11" w:name="_Toc237970493"/>
      <w:r>
        <w:t>Target groups</w:t>
      </w:r>
      <w:bookmarkEnd w:id="11"/>
    </w:p>
    <w:p w14:paraId="35AC60F8">
      <w:pPr>
        <w:jc w:val="both"/>
      </w:pPr>
      <w:r>
        <w:t>So far, the project has reached 7,030 primary beneficiaries (</w:t>
      </w:r>
      <w:r>
        <w:rPr>
          <w:rFonts w:ascii="Aptos" w:hAnsi="Aptos" w:eastAsia="Calibri" w:cs="Calibri"/>
          <w:kern w:val="0"/>
          <w:szCs w:val="22"/>
          <w14:ligatures w14:val="none"/>
        </w:rPr>
        <w:t>women and girls in general; women/girls from minority ethnic groups; women/girls experiencing racial discrimination and/or injustice; women and girls in the lowest income groups; women human rights defenders/ gender advocates</w:t>
      </w:r>
      <w:r>
        <w:t>) and 3,170 secondary beneficiaries (</w:t>
      </w:r>
      <w:r>
        <w:rPr>
          <w:rFonts w:ascii="Aptos" w:hAnsi="Aptos" w:eastAsia="Calibri" w:cs="Calibri"/>
          <w:kern w:val="0"/>
          <w:szCs w:val="22"/>
          <w14:ligatures w14:val="none"/>
        </w:rPr>
        <w:t>men and boys; women and girls; members/leaders of the community and/or community -based organizations/groups; government officials (e.g. district councillors, policy makers, etc); family members (e.g. parents, husbands, mothers-in-law)</w:t>
      </w:r>
      <w:r>
        <w:t>). The evaluation is expected to engage a subset of these, approximately 10–20% of direct beneficiaries and a purposive sample of key stakeholders. If a smaller sample sized is proposed by the evaluator, this should be explained in the inception stage.</w:t>
      </w:r>
    </w:p>
    <w:p w14:paraId="5C56BBCC">
      <w:pPr>
        <w:jc w:val="both"/>
      </w:pPr>
    </w:p>
    <w:p w14:paraId="07A5B35F">
      <w:pPr>
        <w:pStyle w:val="2"/>
      </w:pPr>
      <w:r>
        <w:t xml:space="preserve"> </w:t>
      </w:r>
      <w:bookmarkStart w:id="12" w:name="_Toc237970494"/>
      <w:r>
        <w:t>EVALUATION CRITERIA AND QUESTIONS</w:t>
      </w:r>
      <w:bookmarkEnd w:id="12"/>
      <w:r>
        <w:t xml:space="preserve"> </w:t>
      </w:r>
    </w:p>
    <w:p w14:paraId="04003220">
      <w:r>
        <w:t xml:space="preserve">What follows is a table of evaluation criteria, their definition and evaluation questions pertaining to the criteria. Each question posed must be specifically, individually and comprehensively addressed in findings. </w:t>
      </w:r>
    </w:p>
    <w:tbl>
      <w:tblPr>
        <w:tblStyle w:val="26"/>
        <w:tblW w:w="908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723"/>
        <w:gridCol w:w="4305"/>
        <w:gridCol w:w="3057"/>
      </w:tblGrid>
      <w:tr w14:paraId="1065B0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13" w:type="dxa"/>
            <w:shd w:val="clear" w:color="auto" w:fill="5300FF" w:themeFill="accent3"/>
          </w:tcPr>
          <w:p w14:paraId="1324ACED">
            <w:pPr>
              <w:spacing w:after="160" w:line="278" w:lineRule="auto"/>
              <w:rPr>
                <w:rFonts w:cs="Calibri"/>
                <w:b/>
                <w:bCs/>
                <w:szCs w:val="22"/>
              </w:rPr>
            </w:pPr>
            <w:r>
              <w:rPr>
                <w:rFonts w:cs="Calibri"/>
                <w:b/>
                <w:bCs/>
                <w:szCs w:val="22"/>
              </w:rPr>
              <w:t>Criterion</w:t>
            </w:r>
          </w:p>
        </w:tc>
        <w:tc>
          <w:tcPr>
            <w:tcW w:w="4312" w:type="dxa"/>
            <w:shd w:val="clear" w:color="auto" w:fill="5300FF" w:themeFill="accent3"/>
          </w:tcPr>
          <w:p w14:paraId="010AC543">
            <w:pPr>
              <w:spacing w:after="160" w:line="278" w:lineRule="auto"/>
              <w:rPr>
                <w:rFonts w:cs="Calibri"/>
                <w:b/>
                <w:bCs/>
                <w:szCs w:val="22"/>
              </w:rPr>
            </w:pPr>
            <w:r>
              <w:rPr>
                <w:rFonts w:cs="Calibri"/>
                <w:b/>
                <w:bCs/>
                <w:szCs w:val="22"/>
              </w:rPr>
              <w:t>Definition</w:t>
            </w:r>
          </w:p>
        </w:tc>
        <w:tc>
          <w:tcPr>
            <w:tcW w:w="3060" w:type="dxa"/>
            <w:shd w:val="clear" w:color="auto" w:fill="5300FF" w:themeFill="accent3"/>
          </w:tcPr>
          <w:p w14:paraId="153E418E">
            <w:pPr>
              <w:spacing w:after="160" w:line="278" w:lineRule="auto"/>
              <w:rPr>
                <w:rFonts w:cs="Calibri"/>
                <w:b/>
                <w:bCs/>
                <w:szCs w:val="22"/>
              </w:rPr>
            </w:pPr>
            <w:r>
              <w:rPr>
                <w:rFonts w:cs="Calibri"/>
                <w:b/>
                <w:bCs/>
                <w:szCs w:val="22"/>
              </w:rPr>
              <w:t>Evaluation Question</w:t>
            </w:r>
          </w:p>
        </w:tc>
      </w:tr>
      <w:tr w14:paraId="18883D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13" w:type="dxa"/>
          </w:tcPr>
          <w:p w14:paraId="283090D4">
            <w:pPr>
              <w:spacing w:after="160" w:line="278" w:lineRule="auto"/>
              <w:rPr>
                <w:rFonts w:cs="Calibri"/>
                <w:b/>
                <w:bCs/>
                <w:szCs w:val="22"/>
              </w:rPr>
            </w:pPr>
            <w:r>
              <w:rPr>
                <w:rFonts w:cs="Calibri"/>
                <w:b/>
                <w:bCs/>
                <w:szCs w:val="22"/>
              </w:rPr>
              <w:t>Effectiveness</w:t>
            </w:r>
          </w:p>
        </w:tc>
        <w:tc>
          <w:tcPr>
            <w:tcW w:w="4312" w:type="dxa"/>
          </w:tcPr>
          <w:p w14:paraId="6A30D5F0">
            <w:pPr>
              <w:spacing w:after="160" w:line="278" w:lineRule="auto"/>
              <w:rPr>
                <w:rFonts w:cs="Calibri"/>
                <w:szCs w:val="22"/>
              </w:rPr>
            </w:pPr>
            <w:r>
              <w:rPr>
                <w:rFonts w:cs="Calibri"/>
                <w:szCs w:val="22"/>
              </w:rPr>
              <w:t xml:space="preserve">Extent to which the project achieved intended outputs, outcomes, and goal as articulated in the theory of change, considering planned adaptations and indicator performance. This must include the project results framework and final indicator data. </w:t>
            </w:r>
          </w:p>
        </w:tc>
        <w:tc>
          <w:tcPr>
            <w:tcW w:w="3060" w:type="dxa"/>
          </w:tcPr>
          <w:p w14:paraId="6DE04FF1">
            <w:pPr>
              <w:spacing w:after="160" w:line="278" w:lineRule="auto"/>
              <w:rPr>
                <w:rFonts w:cs="Calibri"/>
                <w:szCs w:val="22"/>
              </w:rPr>
            </w:pPr>
            <w:r>
              <w:rPr>
                <w:rFonts w:cs="Calibri"/>
                <w:szCs w:val="22"/>
              </w:rPr>
              <w:t>1. To what extent were the intended project goal, outcomes, and outputs achieved, for whom and through what main pathways/strategies?</w:t>
            </w:r>
          </w:p>
          <w:p w14:paraId="6E8C543B">
            <w:pPr>
              <w:spacing w:after="160" w:line="278" w:lineRule="auto"/>
              <w:rPr>
                <w:rFonts w:cs="Calibri"/>
                <w:szCs w:val="22"/>
              </w:rPr>
            </w:pPr>
          </w:p>
        </w:tc>
      </w:tr>
      <w:tr w14:paraId="08AF4C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13" w:type="dxa"/>
          </w:tcPr>
          <w:p w14:paraId="3D9E6286">
            <w:pPr>
              <w:spacing w:after="160" w:line="278" w:lineRule="auto"/>
              <w:rPr>
                <w:rFonts w:cs="Calibri"/>
                <w:b/>
                <w:bCs/>
                <w:szCs w:val="22"/>
              </w:rPr>
            </w:pPr>
            <w:r>
              <w:rPr>
                <w:rFonts w:cs="Calibri"/>
                <w:b/>
                <w:bCs/>
                <w:szCs w:val="22"/>
              </w:rPr>
              <w:t>Impact</w:t>
            </w:r>
          </w:p>
        </w:tc>
        <w:tc>
          <w:tcPr>
            <w:tcW w:w="4312" w:type="dxa"/>
          </w:tcPr>
          <w:p w14:paraId="00367D5C">
            <w:pPr>
              <w:spacing w:after="160" w:line="278" w:lineRule="auto"/>
              <w:rPr>
                <w:rFonts w:cs="Calibri"/>
                <w:szCs w:val="22"/>
              </w:rPr>
            </w:pPr>
            <w:r>
              <w:rPr>
                <w:rFonts w:cs="Calibri"/>
                <w:szCs w:val="22"/>
              </w:rPr>
              <w:t>Extent to which the project contributed to broader, long-term (intended or unintended) change in women’s and girls’ lives – including reduced violence, stigma and discrimination, and strengthened women’s empowerment and gender equality (unlike the effectiveness criterion, where the aim is to assess whether the intervention achieved its intended objectives)</w:t>
            </w:r>
          </w:p>
        </w:tc>
        <w:tc>
          <w:tcPr>
            <w:tcW w:w="3060" w:type="dxa"/>
          </w:tcPr>
          <w:p w14:paraId="4573DB42">
            <w:pPr>
              <w:spacing w:after="160" w:line="278" w:lineRule="auto"/>
              <w:rPr>
                <w:rFonts w:cs="Calibri"/>
                <w:szCs w:val="22"/>
              </w:rPr>
            </w:pPr>
            <w:r>
              <w:rPr>
                <w:rFonts w:cs="Calibri"/>
                <w:szCs w:val="22"/>
              </w:rPr>
              <w:t>2. To what extent has the project contributed to sustained change in reducing violence against women and girls, reducing stigma and discrimination, and strengthening women’s empowerment and rights?</w:t>
            </w:r>
          </w:p>
        </w:tc>
      </w:tr>
      <w:tr w14:paraId="3F53BD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13" w:type="dxa"/>
          </w:tcPr>
          <w:p w14:paraId="481A2E5F">
            <w:pPr>
              <w:spacing w:after="160" w:line="278" w:lineRule="auto"/>
              <w:rPr>
                <w:rFonts w:cs="Calibri"/>
                <w:b/>
                <w:bCs/>
                <w:szCs w:val="22"/>
              </w:rPr>
            </w:pPr>
            <w:r>
              <w:rPr>
                <w:rFonts w:cs="Calibri"/>
                <w:b/>
                <w:bCs/>
                <w:szCs w:val="22"/>
              </w:rPr>
              <w:t>Relevance</w:t>
            </w:r>
          </w:p>
        </w:tc>
        <w:tc>
          <w:tcPr>
            <w:tcW w:w="4312" w:type="dxa"/>
          </w:tcPr>
          <w:p w14:paraId="2F71D378">
            <w:pPr>
              <w:spacing w:after="160" w:line="278" w:lineRule="auto"/>
              <w:rPr>
                <w:rFonts w:cs="Calibri"/>
                <w:szCs w:val="22"/>
              </w:rPr>
            </w:pPr>
            <w:r>
              <w:rPr>
                <w:rFonts w:cs="Calibri"/>
                <w:szCs w:val="22"/>
              </w:rPr>
              <w:t>Extent to which the project’s design, objectives and results responded to the priorities, needs, and changing context of target groups, particularly women and girls.</w:t>
            </w:r>
          </w:p>
        </w:tc>
        <w:tc>
          <w:tcPr>
            <w:tcW w:w="3060" w:type="dxa"/>
          </w:tcPr>
          <w:p w14:paraId="3CCA7E15">
            <w:pPr>
              <w:spacing w:after="160" w:line="278" w:lineRule="auto"/>
              <w:rPr>
                <w:rFonts w:cs="Calibri"/>
                <w:szCs w:val="22"/>
              </w:rPr>
            </w:pPr>
            <w:r>
              <w:rPr>
                <w:rFonts w:cs="Calibri"/>
                <w:szCs w:val="22"/>
              </w:rPr>
              <w:t>3. To what extent did the project’s design, objectives and results (goal, outcomes, and outputs) respond to the needs, priorities and context of women and girls?</w:t>
            </w:r>
          </w:p>
        </w:tc>
      </w:tr>
      <w:tr w14:paraId="536E6B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13" w:type="dxa"/>
          </w:tcPr>
          <w:p w14:paraId="0A8C4CA0">
            <w:pPr>
              <w:spacing w:after="160" w:line="278" w:lineRule="auto"/>
              <w:rPr>
                <w:rFonts w:cs="Calibri"/>
                <w:b/>
                <w:bCs/>
                <w:szCs w:val="22"/>
              </w:rPr>
            </w:pPr>
            <w:r>
              <w:rPr>
                <w:rFonts w:cs="Calibri"/>
                <w:b/>
                <w:bCs/>
                <w:szCs w:val="22"/>
              </w:rPr>
              <w:t>Coherence</w:t>
            </w:r>
          </w:p>
        </w:tc>
        <w:tc>
          <w:tcPr>
            <w:tcW w:w="4312" w:type="dxa"/>
          </w:tcPr>
          <w:p w14:paraId="3EC0C5FF">
            <w:pPr>
              <w:spacing w:after="160" w:line="278" w:lineRule="auto"/>
              <w:rPr>
                <w:rFonts w:ascii="Aptos" w:hAnsi="Aptos" w:eastAsia="Aptos" w:cs="Calibri"/>
                <w:color w:val="000000" w:themeColor="text1"/>
                <w:szCs w:val="22"/>
                <w14:textFill>
                  <w14:solidFill>
                    <w14:schemeClr w14:val="tx1"/>
                  </w14:solidFill>
                </w14:textFill>
              </w:rPr>
            </w:pPr>
            <w:r>
              <w:rPr>
                <w:rFonts w:ascii="Aptos" w:hAnsi="Aptos" w:eastAsia="Aptos" w:cs="Calibri"/>
                <w:color w:val="000000" w:themeColor="text1"/>
                <w:szCs w:val="22"/>
                <w14:textFill>
                  <w14:solidFill>
                    <w14:schemeClr w14:val="tx1"/>
                  </w14:solidFill>
                </w14:textFill>
              </w:rPr>
              <w:t>4a. Extent to which the project was internally consistent and externally aligned with broader interventions, policies, and partnerships.</w:t>
            </w:r>
          </w:p>
          <w:p w14:paraId="4364463B">
            <w:pPr>
              <w:spacing w:after="160" w:line="278" w:lineRule="auto"/>
              <w:rPr>
                <w:rFonts w:ascii="Aptos" w:hAnsi="Aptos" w:eastAsia="Aptos" w:cs="Calibri"/>
                <w:color w:val="000000" w:themeColor="text1"/>
                <w:szCs w:val="22"/>
                <w14:textFill>
                  <w14:solidFill>
                    <w14:schemeClr w14:val="tx1"/>
                  </w14:solidFill>
                </w14:textFill>
              </w:rPr>
            </w:pPr>
            <w:r>
              <w:rPr>
                <w:rFonts w:ascii="Aptos" w:hAnsi="Aptos" w:eastAsia="Aptos" w:cs="Calibri"/>
                <w:color w:val="000000" w:themeColor="text1"/>
                <w:szCs w:val="22"/>
                <w14:textFill>
                  <w14:solidFill>
                    <w14:schemeClr w14:val="tx1"/>
                  </w14:solidFill>
                </w14:textFill>
              </w:rPr>
              <w:t xml:space="preserve">4b. Extent to which the project impact </w:t>
            </w:r>
            <w:r>
              <w:rPr>
                <w:rFonts w:ascii="Aptos" w:hAnsi="Aptos" w:eastAsia="Aptos" w:cs="Calibri"/>
                <w:i/>
                <w:iCs/>
                <w:color w:val="000000" w:themeColor="text1"/>
                <w:szCs w:val="22"/>
                <w14:textFill>
                  <w14:solidFill>
                    <w14:schemeClr w14:val="tx1"/>
                  </w14:solidFill>
                </w14:textFill>
              </w:rPr>
              <w:t>contributed</w:t>
            </w:r>
            <w:r>
              <w:rPr>
                <w:rFonts w:ascii="Aptos" w:hAnsi="Aptos" w:eastAsia="Aptos" w:cs="Calibri"/>
                <w:color w:val="000000" w:themeColor="text1"/>
                <w:szCs w:val="22"/>
                <w14:textFill>
                  <w14:solidFill>
                    <w14:schemeClr w14:val="tx1"/>
                  </w14:solidFill>
                </w14:textFill>
              </w:rPr>
              <w:t xml:space="preserve"> to the achievement of specific SDGs (e.g. SDG 1. No poverty, </w:t>
            </w:r>
            <w:r>
              <w:rPr>
                <w:rFonts w:ascii="Aptos" w:hAnsi="Aptos" w:eastAsia="Aptos" w:cs="Calibri"/>
                <w:szCs w:val="22"/>
              </w:rPr>
              <w:t>SDG 3. Health and Wellbeing, SDG 4. Quality Education</w:t>
            </w:r>
            <w:r>
              <w:rPr>
                <w:rFonts w:ascii="Aptos" w:hAnsi="Aptos" w:eastAsia="Aptos" w:cs="Calibri"/>
                <w:color w:val="000000" w:themeColor="text1"/>
                <w:szCs w:val="22"/>
                <w14:textFill>
                  <w14:solidFill>
                    <w14:schemeClr w14:val="tx1"/>
                  </w14:solidFill>
                </w14:textFill>
              </w:rPr>
              <w:t>, SDG 5. Gender equality, SDG 10. Reduced inequalities, SDG 13. Climate action) and in what ways.</w:t>
            </w:r>
          </w:p>
        </w:tc>
        <w:tc>
          <w:tcPr>
            <w:tcW w:w="3060" w:type="dxa"/>
          </w:tcPr>
          <w:p w14:paraId="2343A540">
            <w:pPr>
              <w:spacing w:after="160" w:line="278" w:lineRule="auto"/>
              <w:rPr>
                <w:rFonts w:ascii="Aptos" w:hAnsi="Aptos" w:eastAsia="Aptos" w:cs="Calibri"/>
                <w:color w:val="000000" w:themeColor="text1"/>
                <w:szCs w:val="22"/>
                <w14:textFill>
                  <w14:solidFill>
                    <w14:schemeClr w14:val="tx1"/>
                  </w14:solidFill>
                </w14:textFill>
              </w:rPr>
            </w:pPr>
            <w:r>
              <w:rPr>
                <w:rFonts w:ascii="Aptos" w:hAnsi="Aptos" w:eastAsia="Aptos" w:cs="Calibri"/>
                <w:color w:val="000000" w:themeColor="text1"/>
                <w:szCs w:val="22"/>
                <w14:textFill>
                  <w14:solidFill>
                    <w14:schemeClr w14:val="tx1"/>
                  </w14:solidFill>
                </w14:textFill>
              </w:rPr>
              <w:t>4a. To what extent does the project coherently contribute to national/international EVAW/G frameworks, government systems, multisectoral referral mechanisms, community protection structures, and avoid duplication?</w:t>
            </w:r>
          </w:p>
          <w:p w14:paraId="19C50CE7">
            <w:pPr>
              <w:spacing w:after="160" w:line="278" w:lineRule="auto"/>
              <w:rPr>
                <w:rFonts w:ascii="Aptos" w:hAnsi="Aptos" w:eastAsia="Aptos" w:cs="Calibri"/>
                <w:color w:val="000000" w:themeColor="text1"/>
                <w:szCs w:val="22"/>
                <w14:textFill>
                  <w14:solidFill>
                    <w14:schemeClr w14:val="tx1"/>
                  </w14:solidFill>
                </w14:textFill>
              </w:rPr>
            </w:pPr>
            <w:r>
              <w:rPr>
                <w:rFonts w:ascii="Aptos" w:hAnsi="Aptos" w:eastAsia="Aptos" w:cs="Calibri"/>
                <w:color w:val="000000" w:themeColor="text1"/>
                <w:szCs w:val="22"/>
                <w14:textFill>
                  <w14:solidFill>
                    <w14:schemeClr w14:val="tx1"/>
                  </w14:solidFill>
                </w14:textFill>
              </w:rPr>
              <w:t>4b. To what extent did the project results/impact contribute to the achievement of specific SDGs, and which goals in particular?</w:t>
            </w:r>
          </w:p>
          <w:p w14:paraId="78E7106F">
            <w:pPr>
              <w:spacing w:after="160" w:line="278" w:lineRule="auto"/>
              <w:rPr>
                <w:rFonts w:cs="Calibri"/>
              </w:rPr>
            </w:pPr>
          </w:p>
        </w:tc>
      </w:tr>
      <w:tr w14:paraId="0EC791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13" w:type="dxa"/>
          </w:tcPr>
          <w:p w14:paraId="4E26E27C">
            <w:pPr>
              <w:spacing w:after="160" w:line="278" w:lineRule="auto"/>
              <w:rPr>
                <w:rFonts w:cs="Calibri"/>
                <w:b/>
                <w:bCs/>
                <w:szCs w:val="22"/>
              </w:rPr>
            </w:pPr>
            <w:r>
              <w:rPr>
                <w:rFonts w:cs="Calibri"/>
                <w:b/>
                <w:bCs/>
                <w:szCs w:val="22"/>
              </w:rPr>
              <w:t>Efficiency</w:t>
            </w:r>
          </w:p>
        </w:tc>
        <w:tc>
          <w:tcPr>
            <w:tcW w:w="4312" w:type="dxa"/>
          </w:tcPr>
          <w:p w14:paraId="44CB7FD2">
            <w:pPr>
              <w:spacing w:after="160" w:line="278" w:lineRule="auto"/>
              <w:rPr>
                <w:rFonts w:cs="Calibri"/>
                <w:szCs w:val="22"/>
              </w:rPr>
            </w:pPr>
            <w:r>
              <w:rPr>
                <w:rFonts w:cs="Calibri"/>
                <w:szCs w:val="22"/>
              </w:rPr>
              <w:t>Assesses how efficiently and cost-effectively resources (financial, human, time) were converted into outputs and outcomes, including timeliness, budget utilization (e.g., capacity building, staff self-care allocations), value added from flexible/core/and long-term funding, and how this strengthened organizational resilience.</w:t>
            </w:r>
          </w:p>
        </w:tc>
        <w:tc>
          <w:tcPr>
            <w:tcW w:w="3060" w:type="dxa"/>
          </w:tcPr>
          <w:p w14:paraId="4DF36DC9">
            <w:pPr>
              <w:spacing w:after="160" w:line="278" w:lineRule="auto"/>
              <w:rPr>
                <w:rFonts w:cs="Calibri"/>
                <w:szCs w:val="22"/>
              </w:rPr>
            </w:pPr>
            <w:r>
              <w:rPr>
                <w:rFonts w:cs="Calibri"/>
                <w:szCs w:val="22"/>
              </w:rPr>
              <w:t>5. To what extent were project resources used efficiently and cost-effectively to deliver results, including any utilization of capacity building/staff self-care budgets and leveraging of core/flexible funding?</w:t>
            </w:r>
          </w:p>
        </w:tc>
      </w:tr>
      <w:tr w14:paraId="7D8DC5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13" w:type="dxa"/>
          </w:tcPr>
          <w:p w14:paraId="191F5780">
            <w:pPr>
              <w:spacing w:after="160" w:line="278" w:lineRule="auto"/>
              <w:rPr>
                <w:rFonts w:cs="Calibri"/>
                <w:b/>
                <w:bCs/>
                <w:szCs w:val="22"/>
              </w:rPr>
            </w:pPr>
            <w:r>
              <w:rPr>
                <w:rFonts w:cs="Calibri"/>
                <w:b/>
                <w:bCs/>
                <w:szCs w:val="22"/>
              </w:rPr>
              <w:t>Sustainability</w:t>
            </w:r>
          </w:p>
        </w:tc>
        <w:tc>
          <w:tcPr>
            <w:tcW w:w="4312" w:type="dxa"/>
          </w:tcPr>
          <w:p w14:paraId="180C03BA">
            <w:pPr>
              <w:spacing w:after="160" w:line="278" w:lineRule="auto"/>
              <w:rPr>
                <w:rFonts w:cs="Calibri"/>
                <w:szCs w:val="22"/>
              </w:rPr>
            </w:pPr>
            <w:r>
              <w:rPr>
                <w:rFonts w:cs="Calibri"/>
                <w:szCs w:val="22"/>
              </w:rPr>
              <w:t xml:space="preserve">Extent to which the benefits and positive changes supported by the project are likely to continue after external funding has ended. Sustainability should consider whether ownership, partnerships, capacities, financing, policies, and positive changes in social norms are in place to enable results to endure over time. </w:t>
            </w:r>
          </w:p>
        </w:tc>
        <w:tc>
          <w:tcPr>
            <w:tcW w:w="3060" w:type="dxa"/>
          </w:tcPr>
          <w:p w14:paraId="1FF7B955">
            <w:pPr>
              <w:spacing w:after="160" w:line="278" w:lineRule="auto"/>
              <w:rPr>
                <w:rFonts w:cs="Calibri"/>
                <w:szCs w:val="22"/>
              </w:rPr>
            </w:pPr>
            <w:r>
              <w:rPr>
                <w:rFonts w:cs="Calibri"/>
                <w:szCs w:val="22"/>
              </w:rPr>
              <w:t>6. To what extent are the benefits and changes likely to continue after the project, and what aspects of the project have been most important in supporting their sustainability?</w:t>
            </w:r>
          </w:p>
        </w:tc>
      </w:tr>
      <w:tr w14:paraId="1670EC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13" w:type="dxa"/>
          </w:tcPr>
          <w:p w14:paraId="42E44DFE">
            <w:pPr>
              <w:spacing w:after="160" w:line="278" w:lineRule="auto"/>
              <w:rPr>
                <w:rFonts w:cs="Calibri"/>
                <w:b/>
                <w:bCs/>
                <w:szCs w:val="22"/>
              </w:rPr>
            </w:pPr>
            <w:r>
              <w:rPr>
                <w:rFonts w:cs="Calibri"/>
                <w:b/>
                <w:bCs/>
                <w:szCs w:val="22"/>
              </w:rPr>
              <w:t>Gender equality, human rights and LNOB considerations</w:t>
            </w:r>
          </w:p>
        </w:tc>
        <w:tc>
          <w:tcPr>
            <w:tcW w:w="4312" w:type="dxa"/>
          </w:tcPr>
          <w:p w14:paraId="4B90D746">
            <w:pPr>
              <w:spacing w:after="160" w:line="278" w:lineRule="auto"/>
              <w:rPr>
                <w:rFonts w:cs="Calibri"/>
                <w:szCs w:val="22"/>
              </w:rPr>
            </w:pPr>
            <w:r>
              <w:rPr>
                <w:rFonts w:cs="Calibri"/>
                <w:szCs w:val="22"/>
              </w:rPr>
              <w:t xml:space="preserve">Extent to which human rights-based, and gender-responsive approaches were integrated throughout the project and evaluation, including LNOB considerations (ensuring equal access, participation, and empowerment of women and girls with disabilities, Indigenous women, women and girls from ethnic and racial minorities, LBTIQA+, women and girls who are forcibly displaced, women and girls from lower-income groups and other structurally marginalized groups, as contextually relevant). </w:t>
            </w:r>
          </w:p>
        </w:tc>
        <w:tc>
          <w:tcPr>
            <w:tcW w:w="3060" w:type="dxa"/>
          </w:tcPr>
          <w:p w14:paraId="0E9F75A5">
            <w:pPr>
              <w:spacing w:after="160" w:line="278" w:lineRule="auto"/>
              <w:rPr>
                <w:rFonts w:cs="Calibri"/>
                <w:szCs w:val="22"/>
              </w:rPr>
            </w:pPr>
            <w:r>
              <w:rPr>
                <w:rFonts w:cs="Calibri"/>
                <w:szCs w:val="22"/>
              </w:rPr>
              <w:t>7. To what extent were human rights, gender equality, and LNOB considerations (including disability accessibility, if relevant) integrated across all project elements, evaluation methods, and accessibility measures?</w:t>
            </w:r>
          </w:p>
        </w:tc>
      </w:tr>
      <w:tr w14:paraId="68C32D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13" w:type="dxa"/>
          </w:tcPr>
          <w:p w14:paraId="053DD322">
            <w:pPr>
              <w:spacing w:after="160" w:line="278" w:lineRule="auto"/>
              <w:rPr>
                <w:rFonts w:cs="Calibri"/>
                <w:b/>
                <w:bCs/>
                <w:szCs w:val="22"/>
              </w:rPr>
            </w:pPr>
            <w:r>
              <w:rPr>
                <w:rFonts w:cs="Calibri"/>
                <w:b/>
                <w:bCs/>
                <w:szCs w:val="22"/>
              </w:rPr>
              <w:t>Knowledge generation and lessons learned</w:t>
            </w:r>
          </w:p>
        </w:tc>
        <w:tc>
          <w:tcPr>
            <w:tcW w:w="4312" w:type="dxa"/>
          </w:tcPr>
          <w:p w14:paraId="2FD97813">
            <w:pPr>
              <w:spacing w:after="160" w:line="278" w:lineRule="auto"/>
              <w:rPr>
                <w:rFonts w:cs="Calibri"/>
                <w:szCs w:val="22"/>
              </w:rPr>
            </w:pPr>
            <w:r>
              <w:rPr>
                <w:rFonts w:cs="Calibri"/>
                <w:szCs w:val="22"/>
              </w:rPr>
              <w:t xml:space="preserve">Extent to which the project generated knowledge, credible lessons, innovations, or promising practices that are documented and transferable to future initiatives. </w:t>
            </w:r>
          </w:p>
        </w:tc>
        <w:tc>
          <w:tcPr>
            <w:tcW w:w="3060" w:type="dxa"/>
          </w:tcPr>
          <w:p w14:paraId="44E037A2">
            <w:pPr>
              <w:spacing w:after="160" w:line="278" w:lineRule="auto"/>
              <w:rPr>
                <w:rFonts w:cs="Calibri"/>
                <w:szCs w:val="22"/>
              </w:rPr>
            </w:pPr>
            <w:r>
              <w:rPr>
                <w:rFonts w:cs="Calibri"/>
                <w:szCs w:val="22"/>
              </w:rPr>
              <w:t>8. What knowledge was documented or generated during the project and what are the lessons learned, or innovative practices from the project that should be documented and shared?</w:t>
            </w:r>
          </w:p>
        </w:tc>
      </w:tr>
    </w:tbl>
    <w:p w14:paraId="3718D451"/>
    <w:p w14:paraId="40F9C81B">
      <w:pPr>
        <w:pStyle w:val="2"/>
      </w:pPr>
      <w:bookmarkStart w:id="13" w:name="_Toc237970495"/>
      <w:r>
        <w:t>EVALUATION DESIGN AND METHODOLOGY</w:t>
      </w:r>
      <w:bookmarkEnd w:id="13"/>
    </w:p>
    <w:p w14:paraId="26C80987">
      <w:pPr>
        <w:jc w:val="both"/>
      </w:pPr>
      <w:r>
        <w:t xml:space="preserve">The evaluation is expected to apply a </w:t>
      </w:r>
      <w:r>
        <w:rPr>
          <w:b/>
          <w:bCs/>
        </w:rPr>
        <w:t>mixed-methods, participatory, intersectional and gender-responsive approach</w:t>
      </w:r>
      <w:r>
        <w:t>, combining qualitative and quantitative data to assess project effectiveness; impact; relevance; coherence; efficiency; sustainability; gender equality, human rights and LNOB considerations; as well as knowledge generation and lessons learned. The final methodology will be developed by the evaluator during the inception phase in consultation with the grantee partner.</w:t>
      </w:r>
    </w:p>
    <w:p w14:paraId="5F29E030"/>
    <w:p w14:paraId="332E3CC0">
      <w:pPr>
        <w:pStyle w:val="3"/>
      </w:pPr>
      <w:bookmarkStart w:id="14" w:name="_Toc237970496"/>
      <w:r>
        <w:t>PROPOSED EVALUATION DESIGN</w:t>
      </w:r>
      <w:bookmarkEnd w:id="14"/>
      <w:r>
        <w:t xml:space="preserve"> </w:t>
      </w:r>
    </w:p>
    <w:p w14:paraId="2DC955E1">
      <w:pPr>
        <w:jc w:val="both"/>
      </w:pPr>
      <w:r>
        <w:t>Proposed methods include a desk review of project documentation, key informant interviews with project staff, Roma women activists, institutional stakeholders, and donor representatives, focus group discussions with project participants from the Roma community, and analysis of available monitoring data. The evaluator is encouraged to apply culturally, and racially sensitive and ethical approaches appropriate for working with Roma communities and vulnerable groups, ensuring meaningful participation of Roma women and girls where feasible. The combination of multiple data sources is expected to strengthen the credibility, usefulness, and practical applicability of the evaluation results.</w:t>
      </w:r>
    </w:p>
    <w:p w14:paraId="1E2FF720"/>
    <w:p w14:paraId="77E5B0A6">
      <w:pPr>
        <w:pStyle w:val="3"/>
      </w:pPr>
      <w:bookmarkStart w:id="15" w:name="_Toc237970497"/>
      <w:r>
        <w:t>DATA SOURCES</w:t>
      </w:r>
      <w:bookmarkEnd w:id="15"/>
      <w:r>
        <w:t xml:space="preserve"> </w:t>
      </w:r>
    </w:p>
    <w:p w14:paraId="4923CE87">
      <w:pPr>
        <w:jc w:val="both"/>
      </w:pPr>
      <w:r>
        <w:t xml:space="preserve">The evaluation may draw on both primary and secondary data sources to ensure a comprehensive assessment. </w:t>
      </w:r>
      <w:r>
        <w:rPr>
          <w:u w:val="single"/>
        </w:rPr>
        <w:t>Primary sources</w:t>
      </w:r>
      <w:r>
        <w:t xml:space="preserve"> may be collected through key informant interviews with project staff, Roma women activists, representatives of local institutions (social care centres, schools, healthcare institutions, police, and local governments), and donor representatives, as well as focus group discussions with adolescent Roma girls, community members and other project beneficiaries. Additional/alternative methods may be proposed by the evaluator. </w:t>
      </w:r>
      <w:r>
        <w:rPr>
          <w:u w:val="single"/>
        </w:rPr>
        <w:t>Secondary sources</w:t>
      </w:r>
      <w:r>
        <w:t xml:space="preserve"> may include the project proposal, logical framework, theory of change, progress and financial reports, baseline and endline data (where available), training materials, workshop reports, advocacy materials, project communication products, relevant national legislation and policies, protocols and advocacy initiatives developed under the project, and (inter)national research, statistics, and reports on child marriage, particularly in Roma communities in Serbia.</w:t>
      </w:r>
    </w:p>
    <w:p w14:paraId="2813BB90">
      <w:pPr>
        <w:jc w:val="both"/>
      </w:pPr>
    </w:p>
    <w:p w14:paraId="5B73E200">
      <w:pPr>
        <w:pStyle w:val="3"/>
      </w:pPr>
      <w:bookmarkStart w:id="16" w:name="_Toc237970498"/>
      <w:r>
        <w:t>REQUIRED DATA COLLECTION METHODS</w:t>
      </w:r>
      <w:bookmarkEnd w:id="16"/>
    </w:p>
    <w:p w14:paraId="041245C8">
      <w:pPr>
        <w:jc w:val="both"/>
      </w:pPr>
      <w:r>
        <w:t>Data collection should employ a mixed-methods approach to ensure both depth and breadth of analysis and enable triangulation across multiple data sources. Proposed methods include a document review, key informant interviews with project staff, Roma women activists, institutional stakeholders, and donor representatives, focus group discussions with adolescent Roma girls, and community members, and structured questionnaires where appropriate. Field visits to selected project locations are encouraged to provide contextual understanding and validate findings. The evaluator must ensure that data collection is participatory, intersectional, gender-responsive, and culturally sensitive, applying ethical principles such as informed consent, confidentiality, and the "do no harm" approach, particularly when engaging vulnerable groups and discussing child marriage or gender-based violence. Data collection methods should also consider language, accessibility, and the meaningful participation of Roma women and girls to ensure that findings are credible, representative, and actionable.</w:t>
      </w:r>
    </w:p>
    <w:p w14:paraId="2420CCE7">
      <w:pPr>
        <w:jc w:val="both"/>
      </w:pPr>
    </w:p>
    <w:p w14:paraId="5DA1160D">
      <w:pPr>
        <w:pStyle w:val="3"/>
      </w:pPr>
      <w:bookmarkStart w:id="17" w:name="_Toc237970499"/>
      <w:r>
        <w:t>SAMPLING STRATEGY</w:t>
      </w:r>
      <w:bookmarkEnd w:id="17"/>
    </w:p>
    <w:p w14:paraId="6E2C0D73">
      <w:pPr>
        <w:jc w:val="both"/>
      </w:pPr>
      <w:r>
        <w:t>The evaluator is expected to apply a purposive sampling strategy to ensure representation of the project's key stakeholder groups and implementation locations. The evaluation should include data collection in a representative sample of the 10 project municipalities and, where feasible, cover 10–20% of the project's direct beneficiaries, ensuring representation of adolescent Roma girls, Roma women activists, and community members of different ages. If a smaller sample sized is proposed by the evaluator, this should be explained in the inception stage. Key informant interviews should include project staff, representatives of local governments, public institutions, police, and partner organisations involved in project implementation. The evaluator should also review all key project documents, including the project proposal, progress reports, training materials, advocacy products, and relevant protocols. The final sampling strategy, including sample size and site selection, should be refined during the inception phase based on the evaluation design, available resources, and stakeholder availability.</w:t>
      </w:r>
    </w:p>
    <w:p w14:paraId="22E29ED9">
      <w:pPr>
        <w:jc w:val="both"/>
      </w:pPr>
    </w:p>
    <w:p w14:paraId="5312F835">
      <w:pPr>
        <w:pStyle w:val="3"/>
      </w:pPr>
      <w:bookmarkStart w:id="18" w:name="_Toc237970500"/>
      <w:r>
        <w:t>DATA ANALYSIS APPROACH</w:t>
      </w:r>
      <w:bookmarkEnd w:id="18"/>
    </w:p>
    <w:p w14:paraId="091D59C9">
      <w:pPr>
        <w:jc w:val="both"/>
      </w:pPr>
      <w:r>
        <w:t>The evaluator is expected to apply appropriate qualitative and quantitative analytical techniques consistent with the proposed evaluation design. Qualitative data collected through interviews, focus group discussions, and document review may be analysed using Thematic Analysis to identify recurring patterns, perceptions, and emerging themes. Quantitative data from project monitoring systems, surveys (if conducted), and other available sources may be analysed using Descriptive Statistics to assess outputs and outcome-level changes. Findings should be triangulated across multiple data sources, stakeholder groups, and methods to strengthen the validity and credibility of the evaluation. The analysis should systematically address each evaluation question. Conclusions and recommendations should be evidence-based, clearly linked to the analysis, and accompanied by practical, actionable recommendations to inform future programming, policy, and institutional practice related to preventing child marriages among Roma communities in Serbia.</w:t>
      </w:r>
    </w:p>
    <w:p w14:paraId="6CE8DBB4">
      <w:pPr>
        <w:jc w:val="both"/>
      </w:pPr>
    </w:p>
    <w:p w14:paraId="1CC2D8AD">
      <w:pPr>
        <w:pStyle w:val="3"/>
      </w:pPr>
      <w:bookmarkStart w:id="19" w:name="_Toc237970501"/>
      <w:r>
        <w:t>STAKEHOLDER ENGAGEMENT</w:t>
      </w:r>
      <w:bookmarkEnd w:id="19"/>
    </w:p>
    <w:p w14:paraId="4F7A285A">
      <w:pPr>
        <w:jc w:val="both"/>
      </w:pPr>
      <w:r>
        <w:t>The evaluation should adopt a participatory approach, ensuring the meaningful involvement of key stakeholders throughout the process. Stakeholders should include project staff, Roma women activists, adolescent Roma girls and community members who participated in project activities, representatives of local governments, schools, social care centres, healthcare institutions, police, partner organisations, and the donor. Stakeholders should be consulted during data collection. The evaluation should integrate gender equality, human rights, and social inclusion considerations across all stages. Data should be disaggregated by sex, age, stakeholder group, and, where relevant, location to identify differential project outcomes. The evaluator should ensure that data collection methods are culturally and racially sensitive, accessible, and appropriate for Roma communities, considering literacy levels, language preferences, and potential barriers to participation. Particular attention should be given to safeguarding, informed consent, confidentiality, and the meaningful participation of girls, women, and other vulnerable groups in line with the principles of equity and "do no harm."</w:t>
      </w:r>
    </w:p>
    <w:p w14:paraId="5B3F50A2">
      <w:pPr>
        <w:jc w:val="both"/>
      </w:pPr>
    </w:p>
    <w:p w14:paraId="6B2D4D3D">
      <w:pPr>
        <w:pStyle w:val="3"/>
      </w:pPr>
      <w:bookmarkStart w:id="20" w:name="_Toc237970502"/>
      <w:r>
        <w:t>FIELD VISITS</w:t>
      </w:r>
      <w:bookmarkEnd w:id="20"/>
    </w:p>
    <w:p w14:paraId="302CFC27">
      <w:pPr>
        <w:jc w:val="both"/>
      </w:pPr>
      <w:r>
        <w:t>Field visits are expected to form an integral part of the evaluation to enable direct engagement with project beneficiaries, Roma women activists, and local stakeholders, and to validate findings obtained through document review and interviews. The evaluator is expected to conduct field visits to a representative sample of at least 4 project municipalities, with the final selection to be agreed during the inception phase. During fieldwork, the evaluator should meet with Roma girls and community members participating in the project, Roma women activists, representatives of local governments, schools, social care centres, healthcare institutions, police, and partner organisations. Where feasible, the evaluator should observe community settings to better understand the local context and implementation environment. Field observations should complement other data sources through triangulation and provide contextual insights into project implementation, community engagement, and institutional cooperation. The evaluator is responsible for planning fieldwork in consultation with the grantee partner, considering logistical arrangements, accessibility, participant availability, and (minor) ethical and safeguarding considerations when engaging vulnerable groups.</w:t>
      </w:r>
    </w:p>
    <w:p w14:paraId="720675F2">
      <w:pPr>
        <w:jc w:val="both"/>
      </w:pPr>
    </w:p>
    <w:p w14:paraId="332CE439">
      <w:pPr>
        <w:pStyle w:val="3"/>
      </w:pPr>
      <w:bookmarkStart w:id="21" w:name="_Toc237970503"/>
      <w:r>
        <w:t>ETHICAL AND SAFETY CONSIDERATIONS</w:t>
      </w:r>
      <w:bookmarkEnd w:id="21"/>
    </w:p>
    <w:p w14:paraId="64547899">
      <w:pPr>
        <w:jc w:val="both"/>
        <w:rPr>
          <w:b/>
          <w:bCs/>
          <w:color w:val="EE0000"/>
        </w:rPr>
      </w:pPr>
      <w:r>
        <w:t xml:space="preserve">The evaluator(s) must put in place specific safeguards and protocols to protect the safety (both physical and psychological) of respondents and those collecting the data as well as to prevent harm. This must ensure the rights of the individual are protected and participation in the evaluation does not result in further violation of their rights. </w:t>
      </w:r>
      <w:r>
        <w:rPr>
          <w:b/>
          <w:bCs/>
          <w:color w:val="EE0000"/>
        </w:rPr>
        <w:t>The evaluator(s) must have in place a plan to:</w:t>
      </w:r>
      <w:bookmarkStart w:id="22" w:name="_Toc233614034"/>
      <w:bookmarkEnd w:id="22"/>
      <w:bookmarkStart w:id="23" w:name="_Toc236669787"/>
      <w:bookmarkEnd w:id="23"/>
      <w:bookmarkStart w:id="24" w:name="_Toc234223911"/>
      <w:bookmarkEnd w:id="24"/>
      <w:bookmarkStart w:id="25" w:name="_Toc234223940"/>
      <w:bookmarkEnd w:id="25"/>
      <w:bookmarkStart w:id="26" w:name="_Toc233791165"/>
      <w:bookmarkEnd w:id="26"/>
      <w:bookmarkStart w:id="27" w:name="_Toc236666942"/>
      <w:bookmarkEnd w:id="27"/>
    </w:p>
    <w:p w14:paraId="4FB8AE95">
      <w:pPr>
        <w:pStyle w:val="3"/>
        <w:rPr>
          <w:rFonts w:cs="Calibri"/>
          <w:bCs/>
          <w:vanish/>
        </w:rPr>
      </w:pPr>
      <w:bookmarkStart w:id="28" w:name="_Toc237901075"/>
      <w:bookmarkEnd w:id="28"/>
      <w:bookmarkStart w:id="29" w:name="_Toc236670159"/>
      <w:bookmarkEnd w:id="29"/>
      <w:bookmarkStart w:id="30" w:name="_Toc237969987"/>
      <w:bookmarkEnd w:id="30"/>
      <w:bookmarkStart w:id="31" w:name="_Toc237970504"/>
      <w:bookmarkEnd w:id="31"/>
    </w:p>
    <w:p w14:paraId="741ABBDF">
      <w:pPr>
        <w:pStyle w:val="3"/>
        <w:rPr>
          <w:rFonts w:cs="Calibri"/>
          <w:bCs/>
          <w:vanish/>
        </w:rPr>
      </w:pPr>
      <w:bookmarkStart w:id="32" w:name="_Toc233614035"/>
      <w:bookmarkEnd w:id="32"/>
      <w:bookmarkStart w:id="33" w:name="_Toc233791166"/>
      <w:bookmarkEnd w:id="33"/>
      <w:bookmarkStart w:id="34" w:name="_Toc237970505"/>
      <w:bookmarkEnd w:id="34"/>
      <w:bookmarkStart w:id="35" w:name="_Toc236669788"/>
      <w:bookmarkEnd w:id="35"/>
      <w:bookmarkStart w:id="36" w:name="_Toc234223941"/>
      <w:bookmarkEnd w:id="36"/>
      <w:bookmarkStart w:id="37" w:name="_Toc236666943"/>
      <w:bookmarkEnd w:id="37"/>
      <w:bookmarkStart w:id="38" w:name="_Toc234223912"/>
      <w:bookmarkEnd w:id="38"/>
      <w:bookmarkStart w:id="39" w:name="_Toc237901076"/>
      <w:bookmarkEnd w:id="39"/>
      <w:bookmarkStart w:id="40" w:name="_Toc236670160"/>
      <w:bookmarkEnd w:id="40"/>
      <w:bookmarkStart w:id="41" w:name="_Toc237969988"/>
      <w:bookmarkEnd w:id="41"/>
    </w:p>
    <w:p w14:paraId="4C2B149B"/>
    <w:p w14:paraId="66A0D4DD">
      <w:pPr>
        <w:numPr>
          <w:ilvl w:val="0"/>
          <w:numId w:val="7"/>
        </w:numPr>
        <w:spacing w:after="120" w:line="20" w:lineRule="atLeast"/>
        <w:rPr>
          <w:rFonts w:ascii="Aptos" w:hAnsi="Aptos" w:eastAsia="Aptos"/>
          <w:szCs w:val="22"/>
        </w:rPr>
      </w:pPr>
      <w:r>
        <w:rPr>
          <w:rFonts w:ascii="Aptos" w:hAnsi="Aptos" w:eastAsia="Aptos"/>
          <w:szCs w:val="22"/>
        </w:rPr>
        <w:t>Protect respondents' rights, including privacy and confidentiality.</w:t>
      </w:r>
    </w:p>
    <w:p w14:paraId="76402D9E">
      <w:pPr>
        <w:numPr>
          <w:ilvl w:val="0"/>
          <w:numId w:val="7"/>
        </w:numPr>
        <w:spacing w:after="120" w:line="20" w:lineRule="atLeast"/>
        <w:rPr>
          <w:rFonts w:ascii="Aptos" w:hAnsi="Aptos" w:eastAsia="Aptos"/>
          <w:szCs w:val="22"/>
        </w:rPr>
      </w:pPr>
      <w:r>
        <w:rPr>
          <w:rFonts w:ascii="Aptos" w:hAnsi="Aptos" w:eastAsia="Aptos"/>
          <w:szCs w:val="22"/>
        </w:rPr>
        <w:t>Obtain informed consent and ensure the anonymity of individuals consulted (names must not be disclosed publicly).</w:t>
      </w:r>
    </w:p>
    <w:p w14:paraId="1722EDF4">
      <w:pPr>
        <w:numPr>
          <w:ilvl w:val="0"/>
          <w:numId w:val="7"/>
        </w:numPr>
        <w:spacing w:after="120" w:line="20" w:lineRule="atLeast"/>
        <w:rPr>
          <w:rFonts w:ascii="Aptos" w:hAnsi="Aptos" w:eastAsia="Aptos"/>
          <w:szCs w:val="22"/>
        </w:rPr>
      </w:pPr>
      <w:r>
        <w:rPr>
          <w:rFonts w:ascii="Aptos" w:hAnsi="Aptos" w:eastAsia="Aptos"/>
          <w:szCs w:val="22"/>
        </w:rPr>
        <w:t xml:space="preserve">Safely include minors (adolescent Roma girls) in the evaluation process strictly following the grantee partner’s Minor Safeguarding Protocol </w:t>
      </w:r>
    </w:p>
    <w:p w14:paraId="320F5E51">
      <w:pPr>
        <w:numPr>
          <w:ilvl w:val="0"/>
          <w:numId w:val="7"/>
        </w:numPr>
        <w:spacing w:after="120" w:line="20" w:lineRule="atLeast"/>
        <w:rPr>
          <w:rFonts w:ascii="Aptos" w:hAnsi="Aptos" w:eastAsia="Aptos"/>
          <w:szCs w:val="22"/>
        </w:rPr>
      </w:pPr>
      <w:r>
        <w:rPr>
          <w:rFonts w:ascii="Aptos" w:hAnsi="Aptos" w:eastAsia="Aptos"/>
          <w:szCs w:val="22"/>
        </w:rPr>
        <w:t>Ensure evaluation team members are trained in handling sensitive information, particularly data related to working with minors, violence against women, and are selected based on relevant expertise.</w:t>
      </w:r>
    </w:p>
    <w:p w14:paraId="12A21781">
      <w:pPr>
        <w:numPr>
          <w:ilvl w:val="0"/>
          <w:numId w:val="7"/>
        </w:numPr>
        <w:spacing w:after="120" w:line="20" w:lineRule="atLeast"/>
        <w:rPr>
          <w:rFonts w:ascii="Aptos" w:hAnsi="Aptos" w:eastAsia="Aptos"/>
          <w:szCs w:val="22"/>
        </w:rPr>
      </w:pPr>
      <w:r>
        <w:rPr>
          <w:rFonts w:ascii="Aptos" w:hAnsi="Aptos" w:eastAsia="Aptos"/>
          <w:szCs w:val="22"/>
        </w:rPr>
        <w:t>Design tools that are culturally appropriate and minimize distress for respondents.</w:t>
      </w:r>
    </w:p>
    <w:p w14:paraId="6F6C6DAD">
      <w:pPr>
        <w:numPr>
          <w:ilvl w:val="0"/>
          <w:numId w:val="7"/>
        </w:numPr>
        <w:spacing w:after="120" w:line="20" w:lineRule="atLeast"/>
        <w:rPr>
          <w:rFonts w:ascii="Aptos" w:hAnsi="Aptos" w:eastAsia="Aptos"/>
          <w:szCs w:val="22"/>
        </w:rPr>
      </w:pPr>
      <w:r>
        <w:rPr>
          <w:rFonts w:ascii="Aptos" w:hAnsi="Aptos" w:eastAsia="Aptos"/>
          <w:szCs w:val="22"/>
        </w:rPr>
        <w:t>Schedule data collection visits at times and locations that reduce risks to participants.</w:t>
      </w:r>
    </w:p>
    <w:p w14:paraId="2EECA59F">
      <w:pPr>
        <w:numPr>
          <w:ilvl w:val="0"/>
          <w:numId w:val="7"/>
        </w:numPr>
        <w:spacing w:after="120" w:line="20" w:lineRule="atLeast"/>
        <w:rPr>
          <w:szCs w:val="22"/>
        </w:rPr>
      </w:pPr>
      <w:r>
        <w:rPr>
          <w:rFonts w:ascii="Aptos" w:hAnsi="Aptos" w:eastAsia="Aptos"/>
          <w:szCs w:val="22"/>
        </w:rPr>
        <w:t>Equip interviewers/data collectors to provide referrals to support services (e.g., counselling organisations) for individuals in situations of risk or who show signs of distress.</w:t>
      </w:r>
    </w:p>
    <w:p w14:paraId="0F432676">
      <w:pPr>
        <w:pStyle w:val="2"/>
      </w:pPr>
      <w:bookmarkStart w:id="42" w:name="_Toc237970506"/>
      <w:r>
        <w:t>KEY DELIVERABLES AND TIMELINE</w:t>
      </w:r>
      <w:bookmarkEnd w:id="42"/>
    </w:p>
    <w:tbl>
      <w:tblPr>
        <w:tblStyle w:val="26"/>
        <w:tblW w:w="908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975"/>
        <w:gridCol w:w="5310"/>
        <w:gridCol w:w="1800"/>
      </w:tblGrid>
      <w:tr w14:paraId="56E8B7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75" w:type="dxa"/>
            <w:shd w:val="clear" w:color="auto" w:fill="5300FF" w:themeFill="accent3"/>
          </w:tcPr>
          <w:p w14:paraId="4979D696">
            <w:pPr>
              <w:spacing w:after="0" w:line="278" w:lineRule="auto"/>
              <w:rPr>
                <w:b/>
                <w:bCs/>
                <w:szCs w:val="22"/>
              </w:rPr>
            </w:pPr>
            <w:r>
              <w:rPr>
                <w:b/>
                <w:bCs/>
                <w:szCs w:val="22"/>
              </w:rPr>
              <w:t>Deliverable</w:t>
            </w:r>
          </w:p>
        </w:tc>
        <w:tc>
          <w:tcPr>
            <w:tcW w:w="5310" w:type="dxa"/>
            <w:shd w:val="clear" w:color="auto" w:fill="5300FF" w:themeFill="accent3"/>
          </w:tcPr>
          <w:p w14:paraId="622A09A3">
            <w:pPr>
              <w:spacing w:after="0" w:line="278" w:lineRule="auto"/>
              <w:rPr>
                <w:b/>
                <w:bCs/>
                <w:szCs w:val="22"/>
              </w:rPr>
            </w:pPr>
            <w:r>
              <w:rPr>
                <w:b/>
                <w:bCs/>
                <w:szCs w:val="22"/>
              </w:rPr>
              <w:t>Deadline to submit deliverables to the UN Trust Fund</w:t>
            </w:r>
          </w:p>
        </w:tc>
        <w:tc>
          <w:tcPr>
            <w:tcW w:w="1800" w:type="dxa"/>
            <w:shd w:val="clear" w:color="auto" w:fill="5300FF" w:themeFill="accent3"/>
          </w:tcPr>
          <w:p w14:paraId="01C0A78F">
            <w:pPr>
              <w:spacing w:after="0" w:line="278" w:lineRule="auto"/>
              <w:rPr>
                <w:b/>
                <w:bCs/>
                <w:szCs w:val="22"/>
              </w:rPr>
            </w:pPr>
            <w:r>
              <w:rPr>
                <w:b/>
                <w:bCs/>
                <w:szCs w:val="22"/>
              </w:rPr>
              <w:t>Review time</w:t>
            </w:r>
          </w:p>
        </w:tc>
      </w:tr>
      <w:tr w14:paraId="50BA22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75" w:type="dxa"/>
          </w:tcPr>
          <w:p w14:paraId="20FC5550">
            <w:pPr>
              <w:spacing w:after="0" w:line="278" w:lineRule="auto"/>
              <w:rPr>
                <w:b/>
                <w:bCs/>
                <w:szCs w:val="22"/>
              </w:rPr>
            </w:pPr>
            <w:r>
              <w:rPr>
                <w:b/>
                <w:bCs/>
                <w:szCs w:val="22"/>
              </w:rPr>
              <w:t>Inception Report</w:t>
            </w:r>
          </w:p>
        </w:tc>
        <w:tc>
          <w:tcPr>
            <w:tcW w:w="5310" w:type="dxa"/>
          </w:tcPr>
          <w:p w14:paraId="5087BA2E">
            <w:pPr>
              <w:spacing w:after="0" w:line="278" w:lineRule="auto"/>
              <w:rPr>
                <w:szCs w:val="22"/>
              </w:rPr>
            </w:pPr>
            <w:r>
              <w:rPr>
                <w:szCs w:val="22"/>
              </w:rPr>
              <w:t>Within 3 weeks after hiring evaluator(s)</w:t>
            </w:r>
          </w:p>
          <w:p w14:paraId="0B619969">
            <w:pPr>
              <w:spacing w:after="0" w:line="278" w:lineRule="auto"/>
              <w:rPr>
                <w:i/>
                <w:iCs/>
                <w:szCs w:val="22"/>
              </w:rPr>
            </w:pPr>
            <w:r>
              <w:rPr>
                <w:i/>
                <w:iCs/>
                <w:szCs w:val="22"/>
              </w:rPr>
              <w:t>The inception report must meet the requirements and structure specified in the UN Trust Fund evaluation guidance and template.</w:t>
            </w:r>
          </w:p>
        </w:tc>
        <w:tc>
          <w:tcPr>
            <w:tcW w:w="1800" w:type="dxa"/>
          </w:tcPr>
          <w:p w14:paraId="3A46FF3A">
            <w:pPr>
              <w:spacing w:after="0" w:line="278" w:lineRule="auto"/>
              <w:rPr>
                <w:szCs w:val="22"/>
              </w:rPr>
            </w:pPr>
            <w:r>
              <w:rPr>
                <w:szCs w:val="22"/>
              </w:rPr>
              <w:t>5 working days, each review</w:t>
            </w:r>
          </w:p>
        </w:tc>
      </w:tr>
      <w:tr w14:paraId="0D48A0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75" w:type="dxa"/>
          </w:tcPr>
          <w:p w14:paraId="4AC2FC1B">
            <w:pPr>
              <w:spacing w:after="0" w:line="278" w:lineRule="auto"/>
              <w:rPr>
                <w:b/>
                <w:bCs/>
                <w:szCs w:val="22"/>
              </w:rPr>
            </w:pPr>
            <w:r>
              <w:rPr>
                <w:b/>
                <w:bCs/>
                <w:szCs w:val="22"/>
              </w:rPr>
              <w:t>Draft Report</w:t>
            </w:r>
          </w:p>
        </w:tc>
        <w:tc>
          <w:tcPr>
            <w:tcW w:w="5310" w:type="dxa"/>
          </w:tcPr>
          <w:p w14:paraId="3ABD7029">
            <w:pPr>
              <w:spacing w:after="0" w:line="278" w:lineRule="auto"/>
              <w:rPr>
                <w:szCs w:val="22"/>
              </w:rPr>
            </w:pPr>
            <w:r>
              <w:rPr>
                <w:szCs w:val="22"/>
              </w:rPr>
              <w:t>2 weeks before final deadline</w:t>
            </w:r>
          </w:p>
          <w:p w14:paraId="354E7AF1">
            <w:pPr>
              <w:spacing w:after="0" w:line="278" w:lineRule="auto"/>
              <w:rPr>
                <w:szCs w:val="22"/>
              </w:rPr>
            </w:pPr>
            <w:r>
              <w:rPr>
                <w:i/>
                <w:iCs/>
                <w:szCs w:val="22"/>
              </w:rPr>
              <w:t>The draft report must meet the requirements and structure specified in the UN Trust Fund evaluation guidance and template.</w:t>
            </w:r>
          </w:p>
        </w:tc>
        <w:tc>
          <w:tcPr>
            <w:tcW w:w="1800" w:type="dxa"/>
          </w:tcPr>
          <w:p w14:paraId="1ECF2EF1">
            <w:pPr>
              <w:spacing w:after="0" w:line="278" w:lineRule="auto"/>
              <w:rPr>
                <w:szCs w:val="22"/>
              </w:rPr>
            </w:pPr>
            <w:r>
              <w:rPr>
                <w:szCs w:val="22"/>
              </w:rPr>
              <w:t>10 working days, each review</w:t>
            </w:r>
          </w:p>
        </w:tc>
      </w:tr>
      <w:tr w14:paraId="330993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75" w:type="dxa"/>
          </w:tcPr>
          <w:p w14:paraId="02C132FB">
            <w:pPr>
              <w:spacing w:after="0" w:line="278" w:lineRule="auto"/>
              <w:rPr>
                <w:b/>
                <w:bCs/>
                <w:szCs w:val="22"/>
              </w:rPr>
            </w:pPr>
            <w:r>
              <w:rPr>
                <w:b/>
                <w:bCs/>
                <w:szCs w:val="22"/>
              </w:rPr>
              <w:t xml:space="preserve">Final Report </w:t>
            </w:r>
          </w:p>
        </w:tc>
        <w:tc>
          <w:tcPr>
            <w:tcW w:w="5310" w:type="dxa"/>
          </w:tcPr>
          <w:p w14:paraId="0843174E">
            <w:pPr>
              <w:spacing w:after="0" w:line="278" w:lineRule="auto"/>
              <w:rPr>
                <w:szCs w:val="22"/>
              </w:rPr>
            </w:pPr>
            <w:r>
              <w:rPr>
                <w:szCs w:val="22"/>
              </w:rPr>
              <w:t>Within 2 months after project ends</w:t>
            </w:r>
          </w:p>
          <w:p w14:paraId="48CD7C15">
            <w:pPr>
              <w:spacing w:after="0" w:line="278" w:lineRule="auto"/>
              <w:rPr>
                <w:szCs w:val="22"/>
              </w:rPr>
            </w:pPr>
            <w:r>
              <w:rPr>
                <w:i/>
                <w:iCs/>
                <w:szCs w:val="22"/>
              </w:rPr>
              <w:t>The final report must meet the requirements and structure specified in the UN Trust Fund evaluation guidance and template.</w:t>
            </w:r>
          </w:p>
        </w:tc>
        <w:tc>
          <w:tcPr>
            <w:tcW w:w="1800" w:type="dxa"/>
          </w:tcPr>
          <w:p w14:paraId="0E1E149D">
            <w:pPr>
              <w:spacing w:after="0" w:line="278" w:lineRule="auto"/>
              <w:rPr>
                <w:szCs w:val="22"/>
              </w:rPr>
            </w:pPr>
            <w:r>
              <w:rPr>
                <w:szCs w:val="22"/>
              </w:rPr>
              <w:t>5 working days, each review</w:t>
            </w:r>
          </w:p>
        </w:tc>
      </w:tr>
      <w:tr w14:paraId="30DBE8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75" w:type="dxa"/>
          </w:tcPr>
          <w:p w14:paraId="6495F501">
            <w:pPr>
              <w:spacing w:after="0" w:line="240" w:lineRule="auto"/>
              <w:rPr>
                <w:b/>
                <w:bCs/>
                <w:szCs w:val="22"/>
              </w:rPr>
            </w:pPr>
            <w:r>
              <w:rPr>
                <w:b/>
                <w:bCs/>
                <w:szCs w:val="22"/>
              </w:rPr>
              <w:t>Evaluation Summary (8-10 pages)</w:t>
            </w:r>
          </w:p>
        </w:tc>
        <w:tc>
          <w:tcPr>
            <w:tcW w:w="5310" w:type="dxa"/>
          </w:tcPr>
          <w:p w14:paraId="69DEEE81">
            <w:pPr>
              <w:spacing w:after="0" w:line="240" w:lineRule="auto"/>
              <w:rPr>
                <w:szCs w:val="22"/>
              </w:rPr>
            </w:pPr>
            <w:r>
              <w:rPr>
                <w:szCs w:val="22"/>
              </w:rPr>
              <w:t>Submitted at the same time as the Final Report</w:t>
            </w:r>
          </w:p>
          <w:p w14:paraId="67E50B6E">
            <w:pPr>
              <w:spacing w:after="0" w:line="240" w:lineRule="auto"/>
              <w:rPr>
                <w:szCs w:val="22"/>
              </w:rPr>
            </w:pPr>
            <w:r>
              <w:rPr>
                <w:i/>
                <w:iCs/>
                <w:szCs w:val="22"/>
              </w:rPr>
              <w:t>The final evaluation summary must meet the requirements and structure specified in the UN Trust Fund evaluation guidance and template.</w:t>
            </w:r>
          </w:p>
        </w:tc>
        <w:tc>
          <w:tcPr>
            <w:tcW w:w="1800" w:type="dxa"/>
          </w:tcPr>
          <w:p w14:paraId="58F457DF">
            <w:pPr>
              <w:spacing w:after="0" w:line="240" w:lineRule="auto"/>
              <w:rPr>
                <w:szCs w:val="22"/>
              </w:rPr>
            </w:pPr>
            <w:r>
              <w:rPr>
                <w:szCs w:val="22"/>
              </w:rPr>
              <w:t>1 working day, each review</w:t>
            </w:r>
          </w:p>
        </w:tc>
      </w:tr>
    </w:tbl>
    <w:p w14:paraId="05CE2977"/>
    <w:p w14:paraId="0D7E18F4"/>
    <w:p w14:paraId="32FEC026"/>
    <w:p w14:paraId="0ADF1D71"/>
    <w:p w14:paraId="5AA0A50A"/>
    <w:p w14:paraId="6AA90952"/>
    <w:p w14:paraId="1E273E5B">
      <w:pPr>
        <w:pStyle w:val="2"/>
      </w:pPr>
      <w:bookmarkStart w:id="43" w:name="_Toc237970507"/>
      <w:r>
        <w:t>ROLES AND RESPONSIBILITIES</w:t>
      </w:r>
      <w:bookmarkEnd w:id="43"/>
    </w:p>
    <w:tbl>
      <w:tblPr>
        <w:tblStyle w:val="26"/>
        <w:tblW w:w="9540" w:type="dxa"/>
        <w:tblInd w:w="-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98"/>
        <w:gridCol w:w="6041"/>
        <w:gridCol w:w="2201"/>
      </w:tblGrid>
      <w:tr w14:paraId="1317BD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3" w:hRule="atLeast"/>
        </w:trPr>
        <w:tc>
          <w:tcPr>
            <w:tcW w:w="1274" w:type="dxa"/>
            <w:shd w:val="clear" w:color="auto" w:fill="5300FF" w:themeFill="accent3"/>
          </w:tcPr>
          <w:p w14:paraId="0534F886">
            <w:pPr>
              <w:spacing w:after="0" w:line="240" w:lineRule="auto"/>
              <w:jc w:val="both"/>
              <w:rPr>
                <w:rFonts w:cs="Calibri"/>
                <w:b/>
                <w:bCs/>
              </w:rPr>
            </w:pPr>
            <w:r>
              <w:rPr>
                <w:rFonts w:cs="Calibri"/>
                <w:b/>
                <w:bCs/>
              </w:rPr>
              <w:t>Role</w:t>
            </w:r>
          </w:p>
        </w:tc>
        <w:tc>
          <w:tcPr>
            <w:tcW w:w="6061" w:type="dxa"/>
            <w:shd w:val="clear" w:color="auto" w:fill="5300FF" w:themeFill="accent3"/>
          </w:tcPr>
          <w:p w14:paraId="5C2EDE48">
            <w:pPr>
              <w:spacing w:after="0" w:line="240" w:lineRule="auto"/>
              <w:jc w:val="both"/>
              <w:rPr>
                <w:rFonts w:cs="Calibri"/>
                <w:b/>
                <w:bCs/>
              </w:rPr>
            </w:pPr>
            <w:r>
              <w:rPr>
                <w:rFonts w:cs="Calibri"/>
                <w:b/>
                <w:bCs/>
              </w:rPr>
              <w:t>Responsibilities</w:t>
            </w:r>
          </w:p>
        </w:tc>
        <w:tc>
          <w:tcPr>
            <w:tcW w:w="2205" w:type="dxa"/>
            <w:shd w:val="clear" w:color="auto" w:fill="5300FF" w:themeFill="accent3"/>
          </w:tcPr>
          <w:p w14:paraId="0D125371">
            <w:pPr>
              <w:spacing w:after="0" w:line="240" w:lineRule="auto"/>
              <w:jc w:val="both"/>
              <w:rPr>
                <w:rFonts w:cs="Calibri"/>
                <w:b/>
                <w:bCs/>
              </w:rPr>
            </w:pPr>
            <w:r>
              <w:rPr>
                <w:rFonts w:cs="Calibri"/>
                <w:b/>
                <w:bCs/>
              </w:rPr>
              <w:t>Composition</w:t>
            </w:r>
          </w:p>
        </w:tc>
      </w:tr>
      <w:tr w14:paraId="29AB69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4" w:type="dxa"/>
          </w:tcPr>
          <w:p w14:paraId="10BB0751">
            <w:pPr>
              <w:spacing w:after="0" w:line="240" w:lineRule="auto"/>
              <w:rPr>
                <w:rFonts w:cs="Calibri"/>
                <w:b/>
                <w:bCs/>
                <w:szCs w:val="22"/>
              </w:rPr>
            </w:pPr>
            <w:r>
              <w:rPr>
                <w:rFonts w:cs="Calibri"/>
                <w:b/>
                <w:bCs/>
                <w:szCs w:val="22"/>
              </w:rPr>
              <w:t>Evaluation Task Manager 1 (ETM)</w:t>
            </w:r>
          </w:p>
        </w:tc>
        <w:tc>
          <w:tcPr>
            <w:tcW w:w="6061" w:type="dxa"/>
          </w:tcPr>
          <w:p w14:paraId="72145F20">
            <w:pPr>
              <w:spacing w:after="0" w:line="240" w:lineRule="auto"/>
              <w:rPr>
                <w:rFonts w:cs="Calibri"/>
                <w:szCs w:val="22"/>
              </w:rPr>
            </w:pPr>
            <w:r>
              <w:rPr>
                <w:rFonts w:cs="Calibri"/>
                <w:szCs w:val="22"/>
              </w:rPr>
              <w:t>Leads evaluation process from the grantee partner organization:</w:t>
            </w:r>
          </w:p>
          <w:p w14:paraId="5B554F9D">
            <w:pPr>
              <w:numPr>
                <w:ilvl w:val="0"/>
                <w:numId w:val="8"/>
              </w:numPr>
              <w:spacing w:after="0" w:line="240" w:lineRule="auto"/>
              <w:ind w:left="331" w:hanging="270"/>
              <w:rPr>
                <w:rFonts w:cs="Calibri"/>
                <w:szCs w:val="22"/>
              </w:rPr>
            </w:pPr>
            <w:r>
              <w:rPr>
                <w:rFonts w:cs="Calibri"/>
                <w:szCs w:val="22"/>
              </w:rPr>
              <w:t>Manage logistics, procurement, and recruitment of the evaluator(s)</w:t>
            </w:r>
          </w:p>
          <w:p w14:paraId="72DC1598">
            <w:pPr>
              <w:numPr>
                <w:ilvl w:val="0"/>
                <w:numId w:val="8"/>
              </w:numPr>
              <w:spacing w:after="0" w:line="240" w:lineRule="auto"/>
              <w:ind w:left="331" w:hanging="270"/>
              <w:rPr>
                <w:rFonts w:cs="Calibri"/>
                <w:szCs w:val="22"/>
              </w:rPr>
            </w:pPr>
            <w:r>
              <w:rPr>
                <w:rFonts w:cs="Calibri"/>
                <w:szCs w:val="22"/>
              </w:rPr>
              <w:t>Ensure evaluator(s) has access to evaluation guidance and templates, needed project documents and are connected to stakeholders</w:t>
            </w:r>
          </w:p>
          <w:p w14:paraId="43CABFCA">
            <w:pPr>
              <w:numPr>
                <w:ilvl w:val="0"/>
                <w:numId w:val="8"/>
              </w:numPr>
              <w:spacing w:after="0" w:line="240" w:lineRule="auto"/>
              <w:ind w:left="331" w:hanging="270"/>
              <w:jc w:val="both"/>
              <w:rPr>
                <w:rFonts w:cs="Calibri"/>
                <w:szCs w:val="22"/>
              </w:rPr>
            </w:pPr>
            <w:r>
              <w:rPr>
                <w:rFonts w:cs="Calibri"/>
                <w:szCs w:val="22"/>
              </w:rPr>
              <w:t>Monitors progress throughout the evaluation process and address operational or logistical challenges that may arise</w:t>
            </w:r>
          </w:p>
          <w:p w14:paraId="30A6E087">
            <w:pPr>
              <w:numPr>
                <w:ilvl w:val="0"/>
                <w:numId w:val="8"/>
              </w:numPr>
              <w:spacing w:after="0" w:line="240" w:lineRule="auto"/>
              <w:ind w:left="331" w:hanging="270"/>
              <w:rPr>
                <w:rFonts w:cs="Calibri"/>
                <w:szCs w:val="22"/>
              </w:rPr>
            </w:pPr>
            <w:r>
              <w:rPr>
                <w:rFonts w:cs="Calibri"/>
                <w:szCs w:val="22"/>
              </w:rPr>
              <w:t>Reviews inception, draft and final report, and evaluations summary, provides feedback and help ensure evaluation findings accurately reflect the project results</w:t>
            </w:r>
          </w:p>
        </w:tc>
        <w:tc>
          <w:tcPr>
            <w:tcW w:w="2205" w:type="dxa"/>
          </w:tcPr>
          <w:p w14:paraId="576DC856">
            <w:pPr>
              <w:spacing w:after="0" w:line="240" w:lineRule="auto"/>
              <w:rPr>
                <w:rFonts w:cs="Calibri"/>
                <w:szCs w:val="22"/>
              </w:rPr>
            </w:pPr>
            <w:r>
              <w:rPr>
                <w:rFonts w:cs="Calibri"/>
                <w:szCs w:val="22"/>
              </w:rPr>
              <w:t>Project Manager</w:t>
            </w:r>
          </w:p>
        </w:tc>
      </w:tr>
      <w:tr w14:paraId="478819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7" w:hRule="atLeast"/>
        </w:trPr>
        <w:tc>
          <w:tcPr>
            <w:tcW w:w="1274" w:type="dxa"/>
          </w:tcPr>
          <w:p w14:paraId="0D81A5D5">
            <w:pPr>
              <w:spacing w:after="0" w:line="240" w:lineRule="auto"/>
              <w:rPr>
                <w:rFonts w:cs="Calibri"/>
                <w:b/>
                <w:bCs/>
                <w:szCs w:val="22"/>
              </w:rPr>
            </w:pPr>
            <w:r>
              <w:rPr>
                <w:rFonts w:cs="Calibri"/>
                <w:b/>
                <w:bCs/>
                <w:szCs w:val="22"/>
              </w:rPr>
              <w:t>Evaluation Task Manager 2 (ETM2)</w:t>
            </w:r>
          </w:p>
        </w:tc>
        <w:tc>
          <w:tcPr>
            <w:tcW w:w="6061" w:type="dxa"/>
          </w:tcPr>
          <w:p w14:paraId="4C8E830D">
            <w:pPr>
              <w:numPr>
                <w:ilvl w:val="0"/>
                <w:numId w:val="8"/>
              </w:numPr>
              <w:spacing w:after="0" w:line="240" w:lineRule="auto"/>
              <w:jc w:val="both"/>
              <w:rPr>
                <w:rFonts w:cs="Calibri"/>
                <w:szCs w:val="22"/>
              </w:rPr>
            </w:pPr>
            <w:r>
              <w:rPr>
                <w:rFonts w:cs="Calibri"/>
                <w:szCs w:val="22"/>
              </w:rPr>
              <w:t xml:space="preserve">Drafts the </w:t>
            </w:r>
            <w:r>
              <w:rPr>
                <w:szCs w:val="22"/>
              </w:rPr>
              <w:t>ToR</w:t>
            </w:r>
          </w:p>
          <w:p w14:paraId="124655C7">
            <w:pPr>
              <w:numPr>
                <w:ilvl w:val="0"/>
                <w:numId w:val="8"/>
              </w:numPr>
              <w:spacing w:after="0" w:line="240" w:lineRule="auto"/>
              <w:jc w:val="both"/>
              <w:rPr>
                <w:rFonts w:cs="Calibri"/>
                <w:szCs w:val="22"/>
              </w:rPr>
            </w:pPr>
            <w:r>
              <w:rPr>
                <w:rFonts w:cs="Calibri"/>
                <w:szCs w:val="22"/>
              </w:rPr>
              <w:t>Manages logistics, procurement, and recruitment of the evaluator(s)</w:t>
            </w:r>
          </w:p>
          <w:p w14:paraId="2F5574C8">
            <w:pPr>
              <w:numPr>
                <w:ilvl w:val="0"/>
                <w:numId w:val="8"/>
              </w:numPr>
              <w:spacing w:after="0" w:line="240" w:lineRule="auto"/>
              <w:jc w:val="both"/>
              <w:rPr>
                <w:rFonts w:cs="Calibri"/>
                <w:szCs w:val="22"/>
              </w:rPr>
            </w:pPr>
            <w:r>
              <w:rPr>
                <w:rFonts w:cs="Calibri"/>
                <w:szCs w:val="22"/>
              </w:rPr>
              <w:t>Ensures evaluator(s) has access to evaluation guidance and templates, needed project documents and are connected to stakeholders</w:t>
            </w:r>
          </w:p>
          <w:p w14:paraId="07BA94A9">
            <w:pPr>
              <w:numPr>
                <w:ilvl w:val="0"/>
                <w:numId w:val="8"/>
              </w:numPr>
              <w:spacing w:after="0" w:line="240" w:lineRule="auto"/>
              <w:jc w:val="both"/>
              <w:rPr>
                <w:rFonts w:cs="Calibri"/>
                <w:szCs w:val="22"/>
              </w:rPr>
            </w:pPr>
            <w:r>
              <w:rPr>
                <w:rFonts w:cs="Calibri"/>
                <w:szCs w:val="22"/>
              </w:rPr>
              <w:t>Coordinates the evaluation timeline and ensure that key milestones and deadlines are met</w:t>
            </w:r>
          </w:p>
          <w:p w14:paraId="462D1ADD">
            <w:pPr>
              <w:numPr>
                <w:ilvl w:val="0"/>
                <w:numId w:val="8"/>
              </w:numPr>
              <w:spacing w:after="0" w:line="240" w:lineRule="auto"/>
              <w:jc w:val="both"/>
              <w:rPr>
                <w:rFonts w:cs="Calibri"/>
                <w:szCs w:val="22"/>
              </w:rPr>
            </w:pPr>
            <w:r>
              <w:rPr>
                <w:rFonts w:cs="Calibri"/>
                <w:szCs w:val="22"/>
              </w:rPr>
              <w:t>Organises meetings with the evaluator(s)</w:t>
            </w:r>
          </w:p>
          <w:p w14:paraId="1B10A0EC">
            <w:pPr>
              <w:numPr>
                <w:ilvl w:val="0"/>
                <w:numId w:val="8"/>
              </w:numPr>
              <w:spacing w:after="0" w:line="240" w:lineRule="auto"/>
              <w:jc w:val="both"/>
              <w:rPr>
                <w:rFonts w:cs="Calibri"/>
                <w:szCs w:val="22"/>
              </w:rPr>
            </w:pPr>
            <w:r>
              <w:rPr>
                <w:rFonts w:cs="Calibri"/>
                <w:szCs w:val="22"/>
              </w:rPr>
              <w:t>Monitors progress throughout the evaluation process and address operational or logistical challenges that may arise</w:t>
            </w:r>
          </w:p>
          <w:p w14:paraId="1692DF03">
            <w:pPr>
              <w:numPr>
                <w:ilvl w:val="0"/>
                <w:numId w:val="8"/>
              </w:numPr>
              <w:spacing w:after="0" w:line="240" w:lineRule="auto"/>
              <w:jc w:val="both"/>
              <w:rPr>
                <w:rFonts w:cs="Calibri"/>
                <w:szCs w:val="22"/>
              </w:rPr>
            </w:pPr>
            <w:r>
              <w:rPr>
                <w:rFonts w:cs="Calibri"/>
                <w:szCs w:val="22"/>
              </w:rPr>
              <w:t>Reviews inception, draft, final report, and evaluations summary, provides feedback and helps ensure evaluation findings accurately reflect the project results</w:t>
            </w:r>
          </w:p>
          <w:p w14:paraId="2A6EEC10">
            <w:pPr>
              <w:pStyle w:val="59"/>
              <w:numPr>
                <w:ilvl w:val="0"/>
                <w:numId w:val="8"/>
              </w:numPr>
              <w:rPr>
                <w:rFonts w:cstheme="minorBidi"/>
                <w:color w:val="auto"/>
                <w:sz w:val="22"/>
                <w:szCs w:val="22"/>
                <w:lang w:val="en-GB"/>
              </w:rPr>
            </w:pPr>
            <w:r>
              <w:rPr>
                <w:rFonts w:cstheme="minorBidi"/>
                <w:color w:val="auto"/>
                <w:sz w:val="22"/>
                <w:szCs w:val="22"/>
                <w:lang w:val="en-GB"/>
              </w:rPr>
              <w:t xml:space="preserve">Edits the evaluation report for linguistic quality and accuracy of information </w:t>
            </w:r>
          </w:p>
          <w:p w14:paraId="41C39600">
            <w:pPr>
              <w:numPr>
                <w:ilvl w:val="0"/>
                <w:numId w:val="8"/>
              </w:numPr>
              <w:spacing w:after="0" w:line="240" w:lineRule="auto"/>
              <w:jc w:val="both"/>
              <w:rPr>
                <w:rFonts w:cs="Calibri"/>
                <w:szCs w:val="22"/>
              </w:rPr>
            </w:pPr>
            <w:r>
              <w:rPr>
                <w:rFonts w:cs="Calibri"/>
                <w:szCs w:val="22"/>
              </w:rPr>
              <w:t>Acts as evaluation focal point and coordinates with UN Trust Fund and Evaluation Reference Group</w:t>
            </w:r>
          </w:p>
        </w:tc>
        <w:tc>
          <w:tcPr>
            <w:tcW w:w="2205" w:type="dxa"/>
          </w:tcPr>
          <w:p w14:paraId="075E4BA1">
            <w:pPr>
              <w:spacing w:after="0" w:line="240" w:lineRule="auto"/>
              <w:rPr>
                <w:rFonts w:cs="Calibri"/>
                <w:szCs w:val="22"/>
              </w:rPr>
            </w:pPr>
            <w:r>
              <w:rPr>
                <w:rFonts w:cs="Calibri"/>
                <w:szCs w:val="22"/>
              </w:rPr>
              <w:t>Project Administrator</w:t>
            </w:r>
          </w:p>
        </w:tc>
      </w:tr>
      <w:tr w14:paraId="6E489B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4" w:type="dxa"/>
          </w:tcPr>
          <w:p w14:paraId="3006C028">
            <w:pPr>
              <w:spacing w:after="0" w:line="240" w:lineRule="auto"/>
              <w:rPr>
                <w:rFonts w:cs="Calibri"/>
                <w:b/>
                <w:bCs/>
                <w:szCs w:val="22"/>
              </w:rPr>
            </w:pPr>
            <w:r>
              <w:rPr>
                <w:rFonts w:cs="Calibri"/>
                <w:b/>
                <w:bCs/>
                <w:szCs w:val="22"/>
              </w:rPr>
              <w:t>External Evaluator</w:t>
            </w:r>
          </w:p>
        </w:tc>
        <w:tc>
          <w:tcPr>
            <w:tcW w:w="6061" w:type="dxa"/>
          </w:tcPr>
          <w:p w14:paraId="0E067A7A">
            <w:pPr>
              <w:numPr>
                <w:ilvl w:val="0"/>
                <w:numId w:val="8"/>
              </w:numPr>
              <w:spacing w:after="0" w:line="240" w:lineRule="auto"/>
              <w:ind w:left="331" w:hanging="270"/>
              <w:jc w:val="both"/>
              <w:rPr>
                <w:rFonts w:cs="Calibri"/>
                <w:szCs w:val="22"/>
              </w:rPr>
            </w:pPr>
            <w:r>
              <w:rPr>
                <w:rFonts w:cs="Calibri"/>
                <w:szCs w:val="22"/>
              </w:rPr>
              <w:t>Develops robust evaluation framework as part of the inception phase</w:t>
            </w:r>
          </w:p>
          <w:p w14:paraId="299559C9">
            <w:pPr>
              <w:numPr>
                <w:ilvl w:val="0"/>
                <w:numId w:val="8"/>
              </w:numPr>
              <w:spacing w:after="0" w:line="240" w:lineRule="auto"/>
              <w:ind w:left="331" w:hanging="270"/>
              <w:jc w:val="both"/>
              <w:rPr>
                <w:rFonts w:cs="Calibri"/>
                <w:szCs w:val="22"/>
              </w:rPr>
            </w:pPr>
            <w:r>
              <w:rPr>
                <w:rFonts w:cs="Calibri"/>
                <w:szCs w:val="22"/>
              </w:rPr>
              <w:t>Collects and analyses qualitative/quantitative data ethically</w:t>
            </w:r>
          </w:p>
          <w:p w14:paraId="61A24816">
            <w:pPr>
              <w:numPr>
                <w:ilvl w:val="0"/>
                <w:numId w:val="8"/>
              </w:numPr>
              <w:spacing w:after="0" w:line="240" w:lineRule="auto"/>
              <w:ind w:left="331" w:hanging="270"/>
              <w:jc w:val="both"/>
              <w:rPr>
                <w:rFonts w:cs="Calibri"/>
                <w:szCs w:val="22"/>
              </w:rPr>
            </w:pPr>
            <w:r>
              <w:rPr>
                <w:rFonts w:cs="Calibri"/>
                <w:szCs w:val="22"/>
              </w:rPr>
              <w:t>Engages stakeholders and beneficiaries safely and culturally appropriately</w:t>
            </w:r>
          </w:p>
          <w:p w14:paraId="29B46C8E">
            <w:pPr>
              <w:numPr>
                <w:ilvl w:val="0"/>
                <w:numId w:val="8"/>
              </w:numPr>
              <w:spacing w:after="0" w:line="240" w:lineRule="auto"/>
              <w:ind w:left="331" w:hanging="270"/>
              <w:jc w:val="both"/>
              <w:rPr>
                <w:rFonts w:cs="Calibri"/>
                <w:szCs w:val="22"/>
              </w:rPr>
            </w:pPr>
            <w:r>
              <w:rPr>
                <w:rFonts w:cs="Calibri"/>
                <w:szCs w:val="22"/>
              </w:rPr>
              <w:t>Revises deliverables based on feedback from grantee partner, UN Trust Fund evaluation focal point, and Evaluation Reference Group</w:t>
            </w:r>
          </w:p>
          <w:p w14:paraId="09B54108">
            <w:pPr>
              <w:numPr>
                <w:ilvl w:val="0"/>
                <w:numId w:val="8"/>
              </w:numPr>
              <w:spacing w:after="0" w:line="240" w:lineRule="auto"/>
              <w:ind w:left="331" w:hanging="270"/>
              <w:jc w:val="both"/>
              <w:rPr>
                <w:rFonts w:cs="Calibri"/>
                <w:szCs w:val="22"/>
              </w:rPr>
            </w:pPr>
            <w:r>
              <w:rPr>
                <w:rFonts w:cs="Calibri"/>
                <w:szCs w:val="22"/>
              </w:rPr>
              <w:t xml:space="preserve">Produces all deliverables, as specified in the </w:t>
            </w:r>
            <w:r>
              <w:rPr>
                <w:szCs w:val="22"/>
              </w:rPr>
              <w:t>ToR</w:t>
            </w:r>
          </w:p>
        </w:tc>
        <w:tc>
          <w:tcPr>
            <w:tcW w:w="2205" w:type="dxa"/>
          </w:tcPr>
          <w:p w14:paraId="098C814A">
            <w:pPr>
              <w:spacing w:after="0" w:line="240" w:lineRule="auto"/>
              <w:rPr>
                <w:rFonts w:cs="Calibri"/>
                <w:szCs w:val="22"/>
              </w:rPr>
            </w:pPr>
            <w:r>
              <w:rPr>
                <w:rFonts w:cs="Calibri"/>
                <w:szCs w:val="22"/>
              </w:rPr>
              <w:t>Independent evaluator with EVAW/G expertise, recruited by the grantee partner organization</w:t>
            </w:r>
          </w:p>
        </w:tc>
      </w:tr>
      <w:tr w14:paraId="363870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4" w:type="dxa"/>
          </w:tcPr>
          <w:p w14:paraId="729179E1">
            <w:pPr>
              <w:spacing w:after="0" w:line="240" w:lineRule="auto"/>
              <w:rPr>
                <w:rFonts w:cs="Calibri"/>
                <w:b/>
                <w:bCs/>
                <w:szCs w:val="22"/>
              </w:rPr>
            </w:pPr>
            <w:r>
              <w:rPr>
                <w:rFonts w:cs="Calibri"/>
                <w:b/>
                <w:bCs/>
                <w:szCs w:val="22"/>
              </w:rPr>
              <w:t>UN Trust Fund Evaluation Focal Point</w:t>
            </w:r>
          </w:p>
        </w:tc>
        <w:tc>
          <w:tcPr>
            <w:tcW w:w="6061" w:type="dxa"/>
          </w:tcPr>
          <w:p w14:paraId="51FD96E9">
            <w:pPr>
              <w:numPr>
                <w:ilvl w:val="0"/>
                <w:numId w:val="8"/>
              </w:numPr>
              <w:spacing w:after="0" w:line="240" w:lineRule="auto"/>
              <w:ind w:left="331" w:hanging="270"/>
              <w:jc w:val="both"/>
              <w:rPr>
                <w:rFonts w:cs="Calibri"/>
                <w:szCs w:val="22"/>
              </w:rPr>
            </w:pPr>
            <w:r>
              <w:rPr>
                <w:rFonts w:cs="Calibri"/>
                <w:szCs w:val="22"/>
              </w:rPr>
              <w:t>Supports ETM with reviews, quality assurance, and feedback on deliverables (ToR, inception report, draft report, final report)</w:t>
            </w:r>
          </w:p>
          <w:p w14:paraId="08935153">
            <w:pPr>
              <w:numPr>
                <w:ilvl w:val="0"/>
                <w:numId w:val="8"/>
              </w:numPr>
              <w:spacing w:after="0" w:line="240" w:lineRule="auto"/>
              <w:ind w:left="331" w:hanging="270"/>
              <w:jc w:val="both"/>
              <w:rPr>
                <w:rFonts w:cs="Calibri"/>
                <w:szCs w:val="22"/>
              </w:rPr>
            </w:pPr>
            <w:r>
              <w:rPr>
                <w:rFonts w:cs="Calibri"/>
                <w:szCs w:val="22"/>
              </w:rPr>
              <w:t>Provides methodological guidance and evaluation related support to the ETM</w:t>
            </w:r>
          </w:p>
          <w:p w14:paraId="16A3871D">
            <w:pPr>
              <w:numPr>
                <w:ilvl w:val="0"/>
                <w:numId w:val="8"/>
              </w:numPr>
              <w:spacing w:after="0" w:line="240" w:lineRule="auto"/>
              <w:ind w:left="331" w:hanging="270"/>
              <w:jc w:val="both"/>
              <w:rPr>
                <w:rFonts w:cs="Calibri"/>
                <w:szCs w:val="22"/>
              </w:rPr>
            </w:pPr>
            <w:r>
              <w:rPr>
                <w:rFonts w:cs="Calibri"/>
                <w:szCs w:val="22"/>
              </w:rPr>
              <w:t>Approves all evaluation deliverables, including the final evaluation report</w:t>
            </w:r>
          </w:p>
        </w:tc>
        <w:tc>
          <w:tcPr>
            <w:tcW w:w="2205" w:type="dxa"/>
          </w:tcPr>
          <w:p w14:paraId="1A833296">
            <w:pPr>
              <w:spacing w:after="0" w:line="240" w:lineRule="auto"/>
              <w:rPr>
                <w:rFonts w:cs="Calibri"/>
                <w:szCs w:val="22"/>
              </w:rPr>
            </w:pPr>
            <w:r>
              <w:rPr>
                <w:rFonts w:cs="Calibri"/>
                <w:szCs w:val="22"/>
              </w:rPr>
              <w:t xml:space="preserve">UN Trust Fund staff </w:t>
            </w:r>
          </w:p>
        </w:tc>
      </w:tr>
      <w:tr w14:paraId="27A8A4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4" w:type="dxa"/>
          </w:tcPr>
          <w:p w14:paraId="2E340CFF">
            <w:pPr>
              <w:spacing w:after="0" w:line="240" w:lineRule="auto"/>
              <w:rPr>
                <w:rFonts w:cs="Calibri"/>
                <w:b/>
                <w:bCs/>
                <w:szCs w:val="22"/>
              </w:rPr>
            </w:pPr>
            <w:r>
              <w:rPr>
                <w:rFonts w:cs="Calibri"/>
                <w:b/>
                <w:bCs/>
                <w:szCs w:val="22"/>
              </w:rPr>
              <w:t>UN Trust Fund Portfolio Manager</w:t>
            </w:r>
          </w:p>
        </w:tc>
        <w:tc>
          <w:tcPr>
            <w:tcW w:w="6061" w:type="dxa"/>
          </w:tcPr>
          <w:p w14:paraId="1DE35147">
            <w:pPr>
              <w:numPr>
                <w:ilvl w:val="0"/>
                <w:numId w:val="8"/>
              </w:numPr>
              <w:spacing w:after="0" w:line="240" w:lineRule="auto"/>
              <w:ind w:left="331" w:hanging="270"/>
              <w:jc w:val="both"/>
              <w:rPr>
                <w:rFonts w:cs="Calibri"/>
                <w:szCs w:val="22"/>
              </w:rPr>
            </w:pPr>
            <w:r>
              <w:rPr>
                <w:rFonts w:cs="Calibri"/>
                <w:szCs w:val="22"/>
              </w:rPr>
              <w:t>Should be engaged as a stakeholder in the evaluation and data collection, given their insight and close familiarity with the project</w:t>
            </w:r>
          </w:p>
        </w:tc>
        <w:tc>
          <w:tcPr>
            <w:tcW w:w="2205" w:type="dxa"/>
          </w:tcPr>
          <w:p w14:paraId="34B1E4F0">
            <w:pPr>
              <w:spacing w:after="0" w:line="240" w:lineRule="auto"/>
              <w:rPr>
                <w:rFonts w:cs="Calibri"/>
                <w:szCs w:val="22"/>
              </w:rPr>
            </w:pPr>
            <w:r>
              <w:rPr>
                <w:rFonts w:cs="Calibri"/>
                <w:szCs w:val="22"/>
              </w:rPr>
              <w:t xml:space="preserve">UN Trust Fund staff </w:t>
            </w:r>
          </w:p>
        </w:tc>
      </w:tr>
      <w:tr w14:paraId="53D786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4" w:type="dxa"/>
          </w:tcPr>
          <w:p w14:paraId="0BB5F062">
            <w:pPr>
              <w:spacing w:after="0" w:line="240" w:lineRule="auto"/>
              <w:rPr>
                <w:rFonts w:cs="Calibri"/>
                <w:b/>
                <w:bCs/>
                <w:szCs w:val="22"/>
              </w:rPr>
            </w:pPr>
            <w:r>
              <w:rPr>
                <w:rFonts w:cs="Calibri"/>
                <w:b/>
                <w:bCs/>
                <w:szCs w:val="22"/>
              </w:rPr>
              <w:t>External Reference Group</w:t>
            </w:r>
          </w:p>
        </w:tc>
        <w:tc>
          <w:tcPr>
            <w:tcW w:w="6061" w:type="dxa"/>
          </w:tcPr>
          <w:p w14:paraId="5DD3915A">
            <w:pPr>
              <w:numPr>
                <w:ilvl w:val="0"/>
                <w:numId w:val="8"/>
              </w:numPr>
              <w:spacing w:after="0" w:line="240" w:lineRule="auto"/>
              <w:ind w:left="331" w:hanging="270"/>
              <w:jc w:val="both"/>
              <w:rPr>
                <w:rFonts w:cs="Calibri"/>
                <w:szCs w:val="22"/>
              </w:rPr>
            </w:pPr>
            <w:r>
              <w:rPr>
                <w:rFonts w:cs="Calibri"/>
                <w:szCs w:val="22"/>
              </w:rPr>
              <w:t>Participates in data collection processes (e.g., interviews) and provides contextual and technical expertise on EVAW/G subject matter</w:t>
            </w:r>
          </w:p>
          <w:p w14:paraId="187C1AEA">
            <w:pPr>
              <w:numPr>
                <w:ilvl w:val="0"/>
                <w:numId w:val="8"/>
              </w:numPr>
              <w:spacing w:after="0" w:line="240" w:lineRule="auto"/>
              <w:ind w:left="331" w:hanging="270"/>
              <w:jc w:val="both"/>
              <w:rPr>
                <w:rFonts w:cs="Calibri"/>
                <w:szCs w:val="22"/>
              </w:rPr>
            </w:pPr>
            <w:r>
              <w:rPr>
                <w:rFonts w:cs="Calibri"/>
                <w:szCs w:val="22"/>
              </w:rPr>
              <w:t>Reviews inception, draft and final report, provides feedback and help ensure evaluation findings accurately reflect the project results</w:t>
            </w:r>
          </w:p>
        </w:tc>
        <w:tc>
          <w:tcPr>
            <w:tcW w:w="2205" w:type="dxa"/>
          </w:tcPr>
          <w:p w14:paraId="6C214817">
            <w:pPr>
              <w:spacing w:after="0" w:line="240" w:lineRule="auto"/>
              <w:rPr>
                <w:rFonts w:cs="Calibri"/>
                <w:szCs w:val="22"/>
              </w:rPr>
            </w:pPr>
            <w:r>
              <w:rPr>
                <w:rFonts w:cs="Calibri"/>
                <w:szCs w:val="22"/>
              </w:rPr>
              <w:t>Implementing partners</w:t>
            </w:r>
          </w:p>
        </w:tc>
      </w:tr>
    </w:tbl>
    <w:p w14:paraId="43AD805B"/>
    <w:p w14:paraId="62A25136">
      <w:pPr>
        <w:pStyle w:val="2"/>
      </w:pPr>
      <w:bookmarkStart w:id="44" w:name="_Toc237970508"/>
      <w:r>
        <w:t>MANAGEMENT AND REPORTING ARRANGEMENTS</w:t>
      </w:r>
      <w:bookmarkEnd w:id="44"/>
      <w:r>
        <w:t xml:space="preserve"> </w:t>
      </w:r>
    </w:p>
    <w:p w14:paraId="00D63CBA">
      <w:pPr>
        <w:jc w:val="both"/>
      </w:pPr>
      <w:r>
        <w:t xml:space="preserve">The evaluator(s) will report directly to the Project Manager, as well as the Project Administrator who will serve as the primary focal point throughout the evaluation process. They will both provide overall guidance, facilitate access to project documentation and stakeholders, and coordinate communication between the evaluator, the Evaluation Reference Group, and the UN Trust Fund. Regular progress meetings will be held throughout the assignment to discuss progress, address any challenges, and ensure that the evaluation remains on schedule. </w:t>
      </w:r>
    </w:p>
    <w:p w14:paraId="7709A537">
      <w:pPr>
        <w:jc w:val="both"/>
      </w:pPr>
      <w:r>
        <w:t xml:space="preserve">The frequency of meetings will be </w:t>
      </w:r>
      <w:r>
        <w:rPr>
          <w:u w:val="single"/>
        </w:rPr>
        <w:t>at least once a week</w:t>
      </w:r>
      <w:r>
        <w:t>, with additional meetings organised as needed at key milestones. The evaluator will submit all deliverables, including the inception report, draft evaluation report, and final evaluation report, to the Project Manager and Project Administrator for review. Feedback from the grantee partner, the Evaluation Reference Group, and the UN Trust Fund will be timely communicated to the evaluator. Final approval of each deliverable will be granted following the incorporation of agreed comments and confirmation that the required quality standards have been met.</w:t>
      </w:r>
    </w:p>
    <w:p w14:paraId="728C4DDC"/>
    <w:p w14:paraId="0B50F226">
      <w:pPr>
        <w:pStyle w:val="2"/>
      </w:pPr>
      <w:bookmarkStart w:id="45" w:name="_Toc237970509"/>
      <w:r>
        <w:t>BUDGET AND PAYMENT SCHEDULE</w:t>
      </w:r>
      <w:bookmarkEnd w:id="45"/>
    </w:p>
    <w:p w14:paraId="0C2E0940">
      <w:pPr>
        <w:jc w:val="both"/>
        <w:rPr>
          <w:szCs w:val="22"/>
        </w:rPr>
      </w:pPr>
      <w:r>
        <w:rPr>
          <w:szCs w:val="22"/>
        </w:rPr>
        <w:t xml:space="preserve">Applicants are required to submit a financial proposal indicating the </w:t>
      </w:r>
      <w:r>
        <w:rPr>
          <w:szCs w:val="22"/>
          <w:u w:val="single"/>
        </w:rPr>
        <w:t>total estimated value</w:t>
      </w:r>
      <w:r>
        <w:rPr>
          <w:szCs w:val="22"/>
        </w:rPr>
        <w:t xml:space="preserve"> of the evaluation consultancy. The proposal should be based on the evaluator's daily rate and the estimated number of working days required to complete the assignment.</w:t>
      </w:r>
    </w:p>
    <w:p w14:paraId="5D25A441">
      <w:pPr>
        <w:jc w:val="both"/>
        <w:rPr>
          <w:szCs w:val="22"/>
        </w:rPr>
      </w:pPr>
      <w:r>
        <w:rPr>
          <w:szCs w:val="22"/>
        </w:rPr>
        <w:t>The financial proposal must include a detailed budget covering all costs associated with the evaluation, including, but not limited to, professional fees, travel and local transportation, accommodation and subsistence (where applicable), field visits, meetings (online and in-person), interpretation and translation services, transcription (if required), communication costs, report production, and any other miscellaneous or incidental expenses necessary to complete the assignment. No additional costs beyond the approved financial proposal will be reimbursed or approved.</w:t>
      </w:r>
    </w:p>
    <w:p w14:paraId="081B40D0">
      <w:pPr>
        <w:jc w:val="both"/>
        <w:rPr>
          <w:szCs w:val="22"/>
        </w:rPr>
      </w:pPr>
      <w:r>
        <w:rPr>
          <w:szCs w:val="22"/>
        </w:rPr>
        <w:t>Payments will be made upon satisfactory completion and approval of the agreed deliverables according to the following schedule:</w:t>
      </w:r>
    </w:p>
    <w:p w14:paraId="18920DF5">
      <w:pPr>
        <w:numPr>
          <w:ilvl w:val="0"/>
          <w:numId w:val="9"/>
        </w:numPr>
        <w:rPr>
          <w:b/>
          <w:bCs/>
          <w:szCs w:val="22"/>
        </w:rPr>
      </w:pPr>
      <w:r>
        <w:rPr>
          <w:b/>
          <w:bCs/>
          <w:szCs w:val="22"/>
        </w:rPr>
        <w:t xml:space="preserve">20% </w:t>
      </w:r>
      <w:r>
        <w:rPr>
          <w:szCs w:val="22"/>
        </w:rPr>
        <w:t xml:space="preserve">upon submission and approval of </w:t>
      </w:r>
      <w:r>
        <w:rPr>
          <w:b/>
          <w:bCs/>
          <w:szCs w:val="22"/>
        </w:rPr>
        <w:t>the Inception Report;</w:t>
      </w:r>
    </w:p>
    <w:p w14:paraId="362E31CB">
      <w:pPr>
        <w:numPr>
          <w:ilvl w:val="0"/>
          <w:numId w:val="9"/>
        </w:numPr>
        <w:rPr>
          <w:b/>
          <w:bCs/>
          <w:szCs w:val="22"/>
        </w:rPr>
      </w:pPr>
      <w:r>
        <w:rPr>
          <w:b/>
          <w:bCs/>
          <w:szCs w:val="22"/>
        </w:rPr>
        <w:t xml:space="preserve">40% </w:t>
      </w:r>
      <w:r>
        <w:rPr>
          <w:szCs w:val="22"/>
        </w:rPr>
        <w:t>upon submission and approval of</w:t>
      </w:r>
      <w:r>
        <w:rPr>
          <w:b/>
          <w:bCs/>
          <w:szCs w:val="22"/>
        </w:rPr>
        <w:t xml:space="preserve"> the Draft Final Evaluation Report;</w:t>
      </w:r>
    </w:p>
    <w:p w14:paraId="08079ED5">
      <w:pPr>
        <w:numPr>
          <w:ilvl w:val="0"/>
          <w:numId w:val="9"/>
        </w:numPr>
        <w:rPr>
          <w:b/>
          <w:bCs/>
          <w:szCs w:val="22"/>
        </w:rPr>
      </w:pPr>
      <w:r>
        <w:rPr>
          <w:b/>
          <w:bCs/>
          <w:szCs w:val="22"/>
        </w:rPr>
        <w:t xml:space="preserve">40% </w:t>
      </w:r>
      <w:r>
        <w:rPr>
          <w:szCs w:val="22"/>
        </w:rPr>
        <w:t>upon submission and acceptance of</w:t>
      </w:r>
      <w:r>
        <w:rPr>
          <w:b/>
          <w:bCs/>
          <w:szCs w:val="22"/>
        </w:rPr>
        <w:t xml:space="preserve"> the Final Evaluation Report and the Evaluation Summary, </w:t>
      </w:r>
      <w:r>
        <w:rPr>
          <w:szCs w:val="22"/>
        </w:rPr>
        <w:t>incorporating all agreed comments and revisions</w:t>
      </w:r>
      <w:r>
        <w:rPr>
          <w:b/>
          <w:bCs/>
          <w:szCs w:val="22"/>
        </w:rPr>
        <w:t>.</w:t>
      </w:r>
    </w:p>
    <w:p w14:paraId="233150ED">
      <w:pPr>
        <w:rPr>
          <w:b/>
          <w:bCs/>
          <w:szCs w:val="22"/>
        </w:rPr>
      </w:pPr>
    </w:p>
    <w:p w14:paraId="6BFC833C">
      <w:pPr>
        <w:pStyle w:val="2"/>
      </w:pPr>
      <w:bookmarkStart w:id="46" w:name="_Toc237970510"/>
      <w:r>
        <w:t>QUALIFICATIONS AND REQUIRED EXPERTISE</w:t>
      </w:r>
      <w:bookmarkEnd w:id="46"/>
      <w:r>
        <w:t xml:space="preserve"> </w:t>
      </w:r>
    </w:p>
    <w:p w14:paraId="3249878D">
      <w:pPr>
        <w:rPr>
          <w:szCs w:val="22"/>
        </w:rPr>
      </w:pPr>
      <w:r>
        <w:rPr>
          <w:szCs w:val="22"/>
        </w:rPr>
        <w:t>The successful consultant/team must demonstrate the following qualifications and expertise:</w:t>
      </w:r>
    </w:p>
    <w:p w14:paraId="19178DA7">
      <w:pPr>
        <w:pStyle w:val="44"/>
        <w:numPr>
          <w:ilvl w:val="0"/>
          <w:numId w:val="10"/>
        </w:numPr>
        <w:jc w:val="both"/>
        <w:rPr>
          <w:szCs w:val="22"/>
        </w:rPr>
      </w:pPr>
      <w:r>
        <w:rPr>
          <w:szCs w:val="22"/>
        </w:rPr>
        <w:t xml:space="preserve">Evaluation experience of at least 5-10 years in conducting external evaluations, with mixed-methods evaluation skills and having flexibility in using non-traditional and innovative evaluation methods </w:t>
      </w:r>
    </w:p>
    <w:p w14:paraId="5F3B2D93">
      <w:pPr>
        <w:pStyle w:val="44"/>
        <w:numPr>
          <w:ilvl w:val="0"/>
          <w:numId w:val="10"/>
        </w:numPr>
        <w:jc w:val="both"/>
        <w:rPr>
          <w:szCs w:val="22"/>
        </w:rPr>
      </w:pPr>
      <w:r>
        <w:rPr>
          <w:szCs w:val="22"/>
        </w:rPr>
        <w:t>Familiarity with participatory, intersectional and feminist evaluation approaches</w:t>
      </w:r>
    </w:p>
    <w:p w14:paraId="37A20A26">
      <w:pPr>
        <w:pStyle w:val="44"/>
        <w:numPr>
          <w:ilvl w:val="0"/>
          <w:numId w:val="10"/>
        </w:numPr>
        <w:jc w:val="both"/>
        <w:rPr>
          <w:szCs w:val="22"/>
        </w:rPr>
      </w:pPr>
      <w:r>
        <w:rPr>
          <w:szCs w:val="22"/>
        </w:rPr>
        <w:t>Expertise in gender and human-rights based approaches to evaluation and issues of violence against women and girls, particularly Roma women and girls</w:t>
      </w:r>
    </w:p>
    <w:p w14:paraId="62EA3E41">
      <w:pPr>
        <w:pStyle w:val="44"/>
        <w:numPr>
          <w:ilvl w:val="0"/>
          <w:numId w:val="10"/>
        </w:numPr>
        <w:jc w:val="both"/>
        <w:rPr>
          <w:szCs w:val="22"/>
        </w:rPr>
      </w:pPr>
      <w:r>
        <w:rPr>
          <w:szCs w:val="22"/>
        </w:rPr>
        <w:t>Experience in engaging minors, specifically adolescent girls, in evaluation and data collection</w:t>
      </w:r>
    </w:p>
    <w:p w14:paraId="5E6C1C69">
      <w:pPr>
        <w:pStyle w:val="44"/>
        <w:numPr>
          <w:ilvl w:val="0"/>
          <w:numId w:val="10"/>
        </w:numPr>
        <w:jc w:val="both"/>
        <w:rPr>
          <w:szCs w:val="22"/>
        </w:rPr>
      </w:pPr>
      <w:r>
        <w:rPr>
          <w:szCs w:val="22"/>
        </w:rPr>
        <w:t>Experience with program design and theory of change, gender-responsive evaluation, participatory approaches and stakeholder engagement</w:t>
      </w:r>
    </w:p>
    <w:p w14:paraId="2DEFBDFF">
      <w:pPr>
        <w:pStyle w:val="44"/>
        <w:numPr>
          <w:ilvl w:val="0"/>
          <w:numId w:val="10"/>
        </w:numPr>
        <w:jc w:val="both"/>
        <w:rPr>
          <w:szCs w:val="22"/>
        </w:rPr>
      </w:pPr>
      <w:r>
        <w:rPr>
          <w:szCs w:val="22"/>
        </w:rPr>
        <w:t>Specific evaluation experiences in the areas of ending violence against women and girls</w:t>
      </w:r>
    </w:p>
    <w:p w14:paraId="0F920AEA">
      <w:pPr>
        <w:pStyle w:val="44"/>
        <w:numPr>
          <w:ilvl w:val="0"/>
          <w:numId w:val="10"/>
        </w:numPr>
        <w:jc w:val="both"/>
        <w:rPr>
          <w:szCs w:val="22"/>
        </w:rPr>
      </w:pPr>
      <w:r>
        <w:rPr>
          <w:szCs w:val="22"/>
        </w:rPr>
        <w:t>Demonstrated understanding of the social, economic, and institutional factors contributing to child marriages among Roma communities in Serbia</w:t>
      </w:r>
    </w:p>
    <w:p w14:paraId="02DDBCD9">
      <w:pPr>
        <w:pStyle w:val="44"/>
        <w:numPr>
          <w:ilvl w:val="0"/>
          <w:numId w:val="10"/>
        </w:numPr>
        <w:jc w:val="both"/>
        <w:rPr>
          <w:szCs w:val="22"/>
        </w:rPr>
      </w:pPr>
      <w:r>
        <w:rPr>
          <w:szCs w:val="22"/>
        </w:rPr>
        <w:t>Knowledge of the specific barriers faced by Roma women activists</w:t>
      </w:r>
    </w:p>
    <w:p w14:paraId="397B8050">
      <w:pPr>
        <w:pStyle w:val="44"/>
        <w:numPr>
          <w:ilvl w:val="0"/>
          <w:numId w:val="10"/>
        </w:numPr>
        <w:jc w:val="both"/>
        <w:rPr>
          <w:szCs w:val="22"/>
        </w:rPr>
      </w:pPr>
      <w:r>
        <w:rPr>
          <w:szCs w:val="22"/>
        </w:rPr>
        <w:t>Knowledge of the Serbian legal and policy framework related to child protection, prevention of child marriages, gender equality, domestic violence, and Roma inclusion, as well as relevant international human rights standards</w:t>
      </w:r>
    </w:p>
    <w:p w14:paraId="0A4F1193">
      <w:pPr>
        <w:pStyle w:val="44"/>
        <w:numPr>
          <w:ilvl w:val="0"/>
          <w:numId w:val="10"/>
        </w:numPr>
        <w:jc w:val="both"/>
        <w:rPr>
          <w:szCs w:val="22"/>
        </w:rPr>
      </w:pPr>
      <w:r>
        <w:rPr>
          <w:szCs w:val="22"/>
        </w:rPr>
        <w:t xml:space="preserve">Experience in collecting and analysing quantitative and qualitative data as well as data visualisation </w:t>
      </w:r>
    </w:p>
    <w:p w14:paraId="47A45668">
      <w:pPr>
        <w:pStyle w:val="44"/>
        <w:numPr>
          <w:ilvl w:val="0"/>
          <w:numId w:val="10"/>
        </w:numPr>
        <w:jc w:val="both"/>
        <w:rPr>
          <w:szCs w:val="22"/>
        </w:rPr>
      </w:pPr>
      <w:r>
        <w:rPr>
          <w:szCs w:val="22"/>
        </w:rPr>
        <w:t>A strong commitment to delivering timely and high-quality results, i.e. credible evaluation and its reports</w:t>
      </w:r>
    </w:p>
    <w:p w14:paraId="0693B02C">
      <w:pPr>
        <w:pStyle w:val="44"/>
        <w:numPr>
          <w:ilvl w:val="0"/>
          <w:numId w:val="10"/>
        </w:numPr>
        <w:jc w:val="both"/>
        <w:rPr>
          <w:szCs w:val="22"/>
        </w:rPr>
      </w:pPr>
      <w:r>
        <w:rPr>
          <w:szCs w:val="22"/>
        </w:rPr>
        <w:t xml:space="preserve">A strong team leadership and management track record, as well as interpersonal and communication skills to help ensure that the evaluation is understood and used </w:t>
      </w:r>
    </w:p>
    <w:p w14:paraId="6ADA3A09">
      <w:pPr>
        <w:pStyle w:val="44"/>
        <w:numPr>
          <w:ilvl w:val="0"/>
          <w:numId w:val="10"/>
        </w:numPr>
        <w:jc w:val="both"/>
        <w:rPr>
          <w:szCs w:val="22"/>
        </w:rPr>
      </w:pPr>
      <w:r>
        <w:rPr>
          <w:szCs w:val="22"/>
        </w:rPr>
        <w:t xml:space="preserve">Excellent communication skills and ability to communicate with various stakeholders and to express concisely and clearly ideas and concepts </w:t>
      </w:r>
    </w:p>
    <w:p w14:paraId="72156CA3">
      <w:pPr>
        <w:pStyle w:val="44"/>
        <w:numPr>
          <w:ilvl w:val="0"/>
          <w:numId w:val="10"/>
        </w:numPr>
        <w:jc w:val="both"/>
        <w:rPr>
          <w:szCs w:val="22"/>
        </w:rPr>
      </w:pPr>
      <w:r>
        <w:rPr>
          <w:szCs w:val="22"/>
        </w:rPr>
        <w:t xml:space="preserve">Language proficiency: native-level fluency in English  and Serbian is mandatory </w:t>
      </w:r>
    </w:p>
    <w:p w14:paraId="3005FD75">
      <w:pPr>
        <w:pStyle w:val="2"/>
      </w:pPr>
      <w:bookmarkStart w:id="47" w:name="_Toc237970511"/>
      <w:r>
        <w:t>APPLICATION REQUIREMENTS</w:t>
      </w:r>
      <w:bookmarkEnd w:id="47"/>
    </w:p>
    <w:p w14:paraId="253A15C6">
      <w:pPr>
        <w:spacing w:line="259" w:lineRule="auto"/>
        <w:jc w:val="both"/>
        <w:rPr>
          <w:rFonts w:ascii="Aptos" w:hAnsi="Aptos" w:eastAsia="Times New Roman" w:cs="Segoe UI"/>
          <w:kern w:val="0"/>
          <w:szCs w:val="22"/>
          <w14:ligatures w14:val="none"/>
        </w:rPr>
      </w:pPr>
      <w:r>
        <w:rPr>
          <w:rFonts w:ascii="Aptos" w:hAnsi="Aptos" w:eastAsia="Times New Roman" w:cs="Segoe UI"/>
          <w:kern w:val="0"/>
          <w:szCs w:val="22"/>
          <w14:ligatures w14:val="none"/>
        </w:rPr>
        <w:t>To apply for this consultancy, interested candidates must submit a dossier containing the following documents in English: </w:t>
      </w:r>
    </w:p>
    <w:p w14:paraId="52C4F1CE">
      <w:pPr>
        <w:numPr>
          <w:ilvl w:val="0"/>
          <w:numId w:val="11"/>
        </w:numPr>
        <w:spacing w:after="0" w:line="259" w:lineRule="auto"/>
        <w:jc w:val="both"/>
        <w:rPr>
          <w:rFonts w:ascii="Aptos" w:hAnsi="Aptos" w:eastAsia="Times New Roman" w:cs="Segoe UI"/>
          <w:kern w:val="0"/>
          <w:szCs w:val="22"/>
          <w14:ligatures w14:val="none"/>
        </w:rPr>
      </w:pPr>
      <w:r>
        <w:rPr>
          <w:rFonts w:ascii="Aptos" w:hAnsi="Aptos" w:eastAsia="Times New Roman" w:cs="Segoe UI"/>
          <w:b/>
          <w:bCs/>
          <w:kern w:val="0"/>
          <w:szCs w:val="22"/>
          <w14:ligatures w14:val="none"/>
        </w:rPr>
        <w:t>CVs</w:t>
      </w:r>
      <w:r>
        <w:rPr>
          <w:rFonts w:ascii="Aptos" w:hAnsi="Aptos" w:eastAsia="Times New Roman" w:cs="Segoe UI"/>
          <w:kern w:val="0"/>
          <w:szCs w:val="22"/>
          <w14:ligatures w14:val="none"/>
        </w:rPr>
        <w:t xml:space="preserve"> of all members of the proposed evaluation team (including proof of relevant evaluation experience)</w:t>
      </w:r>
    </w:p>
    <w:p w14:paraId="60F15C7F">
      <w:pPr>
        <w:numPr>
          <w:ilvl w:val="0"/>
          <w:numId w:val="12"/>
        </w:numPr>
        <w:spacing w:after="0" w:line="259" w:lineRule="auto"/>
        <w:jc w:val="both"/>
        <w:rPr>
          <w:rFonts w:ascii="Aptos" w:hAnsi="Aptos" w:eastAsia="Times New Roman" w:cs="Segoe UI"/>
          <w:kern w:val="0"/>
          <w:szCs w:val="22"/>
          <w14:ligatures w14:val="none"/>
        </w:rPr>
      </w:pPr>
      <w:r>
        <w:rPr>
          <w:rFonts w:ascii="Aptos" w:hAnsi="Aptos" w:eastAsia="Times New Roman" w:cs="Segoe UI"/>
          <w:b/>
          <w:bCs/>
          <w:kern w:val="0"/>
          <w:szCs w:val="22"/>
          <w14:ligatures w14:val="none"/>
        </w:rPr>
        <w:t>Technical proposal</w:t>
      </w:r>
      <w:r>
        <w:rPr>
          <w:rFonts w:ascii="Aptos" w:hAnsi="Aptos" w:eastAsia="Times New Roman" w:cs="Segoe UI"/>
          <w:kern w:val="0"/>
          <w:szCs w:val="22"/>
          <w14:ligatures w14:val="none"/>
        </w:rPr>
        <w:t> </w:t>
      </w:r>
    </w:p>
    <w:p w14:paraId="59A86982">
      <w:pPr>
        <w:numPr>
          <w:ilvl w:val="1"/>
          <w:numId w:val="12"/>
        </w:numPr>
        <w:spacing w:after="0" w:line="259" w:lineRule="auto"/>
        <w:jc w:val="both"/>
        <w:rPr>
          <w:rFonts w:ascii="Aptos" w:hAnsi="Aptos" w:eastAsia="Times New Roman" w:cs="Segoe UI"/>
          <w:kern w:val="0"/>
          <w:szCs w:val="22"/>
          <w14:ligatures w14:val="none"/>
        </w:rPr>
      </w:pPr>
      <w:r>
        <w:rPr>
          <w:rFonts w:ascii="Aptos" w:hAnsi="Aptos" w:eastAsia="Times New Roman" w:cs="Segoe UI"/>
          <w:kern w:val="0"/>
          <w:szCs w:val="22"/>
          <w14:ligatures w14:val="none"/>
        </w:rPr>
        <w:t>Understanding of the evaluation objectives and scope</w:t>
      </w:r>
    </w:p>
    <w:p w14:paraId="72A6A268">
      <w:pPr>
        <w:numPr>
          <w:ilvl w:val="1"/>
          <w:numId w:val="12"/>
        </w:numPr>
        <w:spacing w:after="0" w:line="259" w:lineRule="auto"/>
        <w:jc w:val="both"/>
        <w:rPr>
          <w:rFonts w:ascii="Aptos" w:hAnsi="Aptos" w:eastAsia="Times New Roman" w:cs="Segoe UI"/>
          <w:kern w:val="0"/>
          <w:szCs w:val="22"/>
          <w14:ligatures w14:val="none"/>
        </w:rPr>
      </w:pPr>
      <w:r>
        <w:rPr>
          <w:rFonts w:ascii="Aptos" w:hAnsi="Aptos" w:eastAsia="Times New Roman" w:cs="Segoe UI"/>
          <w:kern w:val="0"/>
          <w:szCs w:val="22"/>
          <w14:ligatures w14:val="none"/>
        </w:rPr>
        <w:t>Identification of key evaluation challenges, risks, and proposed mitigation measures</w:t>
      </w:r>
    </w:p>
    <w:p w14:paraId="2CE47CFD">
      <w:pPr>
        <w:numPr>
          <w:ilvl w:val="1"/>
          <w:numId w:val="12"/>
        </w:numPr>
        <w:spacing w:after="0" w:line="259" w:lineRule="auto"/>
        <w:jc w:val="both"/>
        <w:rPr>
          <w:rFonts w:ascii="Aptos" w:hAnsi="Aptos" w:eastAsia="Times New Roman" w:cs="Segoe UI"/>
          <w:kern w:val="0"/>
          <w:szCs w:val="22"/>
          <w14:ligatures w14:val="none"/>
        </w:rPr>
      </w:pPr>
      <w:r>
        <w:rPr>
          <w:rFonts w:ascii="Aptos" w:hAnsi="Aptos" w:eastAsia="Times New Roman" w:cs="Segoe UI"/>
          <w:kern w:val="0"/>
          <w:szCs w:val="22"/>
          <w14:ligatures w14:val="none"/>
        </w:rPr>
        <w:t>Proposed methodology and approach (including stakeholder engagement and field visit plan)</w:t>
      </w:r>
    </w:p>
    <w:p w14:paraId="549BCACE">
      <w:pPr>
        <w:numPr>
          <w:ilvl w:val="1"/>
          <w:numId w:val="12"/>
        </w:numPr>
        <w:spacing w:after="0" w:line="259" w:lineRule="auto"/>
        <w:jc w:val="both"/>
        <w:rPr>
          <w:rFonts w:ascii="Aptos" w:hAnsi="Aptos" w:eastAsia="Times New Roman" w:cs="Segoe UI"/>
          <w:kern w:val="0"/>
          <w:szCs w:val="22"/>
          <w14:ligatures w14:val="none"/>
        </w:rPr>
      </w:pPr>
      <w:r>
        <w:rPr>
          <w:rFonts w:ascii="Aptos" w:hAnsi="Aptos" w:eastAsia="Times New Roman" w:cs="Segoe UI"/>
          <w:kern w:val="0"/>
          <w:szCs w:val="22"/>
          <w14:ligatures w14:val="none"/>
        </w:rPr>
        <w:t>Detailed work plan with timelines and deliverables</w:t>
      </w:r>
    </w:p>
    <w:p w14:paraId="4F048F6B">
      <w:pPr>
        <w:numPr>
          <w:ilvl w:val="1"/>
          <w:numId w:val="12"/>
        </w:numPr>
        <w:spacing w:after="0" w:line="259" w:lineRule="auto"/>
        <w:jc w:val="both"/>
        <w:rPr>
          <w:rFonts w:ascii="Aptos" w:hAnsi="Aptos" w:eastAsia="Times New Roman" w:cs="Segoe UI"/>
          <w:kern w:val="0"/>
          <w:szCs w:val="22"/>
          <w14:ligatures w14:val="none"/>
        </w:rPr>
      </w:pPr>
      <w:r>
        <w:rPr>
          <w:rFonts w:ascii="Aptos" w:hAnsi="Aptos" w:eastAsia="Times New Roman" w:cs="Segoe UI"/>
          <w:kern w:val="0"/>
          <w:szCs w:val="22"/>
          <w14:ligatures w14:val="none"/>
        </w:rPr>
        <w:t>Team composition and roles</w:t>
      </w:r>
    </w:p>
    <w:p w14:paraId="26766AAD">
      <w:pPr>
        <w:numPr>
          <w:ilvl w:val="0"/>
          <w:numId w:val="12"/>
        </w:numPr>
        <w:spacing w:after="0" w:line="259" w:lineRule="auto"/>
        <w:jc w:val="both"/>
        <w:rPr>
          <w:rFonts w:ascii="Aptos" w:hAnsi="Aptos" w:eastAsia="Times New Roman" w:cs="Segoe UI"/>
          <w:kern w:val="0"/>
          <w:szCs w:val="22"/>
          <w14:ligatures w14:val="none"/>
        </w:rPr>
      </w:pPr>
      <w:r>
        <w:rPr>
          <w:rFonts w:ascii="Aptos" w:hAnsi="Aptos" w:eastAsia="Times New Roman" w:cs="Segoe UI"/>
          <w:b/>
          <w:bCs/>
          <w:kern w:val="0"/>
          <w:szCs w:val="22"/>
          <w14:ligatures w14:val="none"/>
        </w:rPr>
        <w:t>Financial proposal</w:t>
      </w:r>
      <w:r>
        <w:rPr>
          <w:rFonts w:ascii="Aptos" w:hAnsi="Aptos" w:eastAsia="Times New Roman" w:cs="Segoe UI"/>
          <w:kern w:val="0"/>
          <w:szCs w:val="22"/>
          <w14:ligatures w14:val="none"/>
        </w:rPr>
        <w:t> with a detailed breakdown to include all estimated costs</w:t>
      </w:r>
    </w:p>
    <w:p w14:paraId="2D62086A">
      <w:pPr>
        <w:numPr>
          <w:ilvl w:val="0"/>
          <w:numId w:val="12"/>
        </w:numPr>
        <w:spacing w:after="0" w:line="259" w:lineRule="auto"/>
        <w:jc w:val="both"/>
        <w:rPr>
          <w:rFonts w:ascii="Aptos" w:hAnsi="Aptos" w:eastAsia="Times New Roman" w:cs="Segoe UI"/>
          <w:kern w:val="0"/>
          <w:szCs w:val="22"/>
          <w14:ligatures w14:val="none"/>
        </w:rPr>
      </w:pPr>
      <w:r>
        <w:rPr>
          <w:rFonts w:ascii="Aptos" w:hAnsi="Aptos" w:eastAsia="Times New Roman" w:cs="Segoe UI"/>
          <w:b/>
          <w:bCs/>
          <w:kern w:val="0"/>
          <w:szCs w:val="22"/>
          <w14:ligatures w14:val="none"/>
        </w:rPr>
        <w:t>Motivational letter</w:t>
      </w:r>
      <w:r>
        <w:rPr>
          <w:rFonts w:ascii="Aptos" w:hAnsi="Aptos" w:eastAsia="Times New Roman" w:cs="Segoe UI"/>
          <w:kern w:val="0"/>
          <w:szCs w:val="22"/>
          <w14:ligatures w14:val="none"/>
        </w:rPr>
        <w:t xml:space="preserve"> explaining interest and suitability for the consultancy</w:t>
      </w:r>
    </w:p>
    <w:p w14:paraId="00D57172">
      <w:pPr>
        <w:numPr>
          <w:ilvl w:val="0"/>
          <w:numId w:val="12"/>
        </w:numPr>
        <w:spacing w:after="0" w:line="259" w:lineRule="auto"/>
        <w:jc w:val="both"/>
        <w:rPr>
          <w:rFonts w:ascii="Aptos" w:hAnsi="Aptos" w:eastAsia="Times New Roman" w:cs="Segoe UI"/>
          <w:kern w:val="0"/>
          <w:szCs w:val="22"/>
          <w14:ligatures w14:val="none"/>
        </w:rPr>
      </w:pPr>
      <w:r>
        <w:rPr>
          <w:rFonts w:ascii="Aptos" w:hAnsi="Aptos" w:eastAsia="Times New Roman" w:cs="Segoe UI"/>
          <w:b/>
          <w:bCs/>
          <w:kern w:val="0"/>
          <w:szCs w:val="22"/>
          <w14:ligatures w14:val="none"/>
        </w:rPr>
        <w:t>At least two samples</w:t>
      </w:r>
      <w:r>
        <w:rPr>
          <w:rFonts w:ascii="Aptos" w:hAnsi="Aptos" w:eastAsia="Times New Roman" w:cs="Segoe UI"/>
          <w:kern w:val="0"/>
          <w:szCs w:val="22"/>
          <w14:ligatures w14:val="none"/>
        </w:rPr>
        <w:t xml:space="preserve"> of previous evaluation reports (preferably within the last 5 years)</w:t>
      </w:r>
    </w:p>
    <w:p w14:paraId="6A30790A">
      <w:pPr>
        <w:numPr>
          <w:ilvl w:val="0"/>
          <w:numId w:val="12"/>
        </w:numPr>
        <w:spacing w:after="0" w:line="259" w:lineRule="auto"/>
        <w:jc w:val="both"/>
        <w:rPr>
          <w:rFonts w:ascii="Aptos" w:hAnsi="Aptos" w:eastAsia="Times New Roman" w:cs="Segoe UI"/>
          <w:kern w:val="0"/>
          <w:szCs w:val="22"/>
          <w14:ligatures w14:val="none"/>
        </w:rPr>
      </w:pPr>
      <w:r>
        <w:rPr>
          <w:rFonts w:ascii="Aptos" w:hAnsi="Aptos" w:eastAsia="Times New Roman" w:cs="Segoe UI"/>
          <w:b/>
          <w:bCs/>
          <w:kern w:val="0"/>
          <w:szCs w:val="22"/>
          <w14:ligatures w14:val="none"/>
        </w:rPr>
        <w:t>References</w:t>
      </w:r>
      <w:r>
        <w:rPr>
          <w:rFonts w:ascii="Aptos" w:hAnsi="Aptos" w:eastAsia="Times New Roman" w:cs="Segoe UI"/>
          <w:kern w:val="0"/>
          <w:szCs w:val="22"/>
          <w14:ligatures w14:val="none"/>
        </w:rPr>
        <w:t xml:space="preserve"> from at least two previous clients, including contact details </w:t>
      </w:r>
    </w:p>
    <w:p w14:paraId="5861855B">
      <w:pPr>
        <w:spacing w:after="0" w:line="259" w:lineRule="auto"/>
        <w:rPr>
          <w:rFonts w:ascii="Aptos" w:hAnsi="Aptos" w:eastAsia="Times New Roman" w:cs="Segoe UI"/>
          <w:kern w:val="0"/>
          <w:szCs w:val="22"/>
          <w14:ligatures w14:val="none"/>
        </w:rPr>
      </w:pPr>
    </w:p>
    <w:p w14:paraId="33CB6FF4">
      <w:pPr>
        <w:spacing w:after="0" w:line="259" w:lineRule="auto"/>
        <w:jc w:val="both"/>
        <w:rPr>
          <w:rFonts w:ascii="Aptos" w:hAnsi="Aptos" w:eastAsia="Times New Roman" w:cs="Segoe UI"/>
          <w:kern w:val="0"/>
          <w:szCs w:val="22"/>
          <w14:ligatures w14:val="none"/>
        </w:rPr>
      </w:pPr>
      <w:r>
        <w:rPr>
          <w:rFonts w:ascii="Aptos" w:hAnsi="Aptos" w:eastAsia="Times New Roman" w:cs="Segoe UI"/>
          <w:kern w:val="0"/>
          <w:szCs w:val="22"/>
          <w14:ligatures w14:val="none"/>
        </w:rPr>
        <w:t>Please send the complete application package to Slavica Vasić Mitrović</w:t>
      </w:r>
      <w:r>
        <w:rPr>
          <w:rFonts w:ascii="Aptos" w:hAnsi="Aptos" w:eastAsia="Times New Roman" w:cs="Segoe UI"/>
          <w:i/>
          <w:iCs/>
          <w:kern w:val="0"/>
          <w:szCs w:val="22"/>
          <w14:ligatures w14:val="none"/>
        </w:rPr>
        <w:t> </w:t>
      </w:r>
      <w:r>
        <w:rPr>
          <w:rFonts w:ascii="Aptos" w:hAnsi="Aptos" w:eastAsia="Times New Roman" w:cs="Segoe UI"/>
          <w:kern w:val="0"/>
          <w:szCs w:val="22"/>
          <w14:ligatures w14:val="none"/>
        </w:rPr>
        <w:t xml:space="preserve">at </w:t>
      </w:r>
      <w:r>
        <w:fldChar w:fldCharType="begin"/>
      </w:r>
      <w:r>
        <w:instrText xml:space="preserve"> HYPERLINK "mailto:vasic.slavica@gmail.com" </w:instrText>
      </w:r>
      <w:r>
        <w:fldChar w:fldCharType="separate"/>
      </w:r>
      <w:r>
        <w:rPr>
          <w:rStyle w:val="23"/>
          <w:rFonts w:ascii="Aptos" w:hAnsi="Aptos" w:eastAsia="Times New Roman" w:cs="Segoe UI"/>
          <w:b/>
          <w:bCs/>
          <w:kern w:val="0"/>
          <w:szCs w:val="22"/>
          <w14:ligatures w14:val="none"/>
        </w:rPr>
        <w:t>vasic.slavica@gmail.com</w:t>
      </w:r>
      <w:r>
        <w:rPr>
          <w:rStyle w:val="23"/>
          <w:rFonts w:ascii="Aptos" w:hAnsi="Aptos" w:eastAsia="Times New Roman" w:cs="Segoe UI"/>
          <w:b/>
          <w:bCs/>
          <w:kern w:val="0"/>
          <w:szCs w:val="22"/>
          <w14:ligatures w14:val="none"/>
        </w:rPr>
        <w:fldChar w:fldCharType="end"/>
      </w:r>
      <w:r>
        <w:rPr>
          <w:rFonts w:ascii="Aptos" w:hAnsi="Aptos" w:eastAsia="Times New Roman" w:cs="Segoe UI"/>
          <w:kern w:val="0"/>
          <w:szCs w:val="22"/>
          <w14:ligatures w14:val="none"/>
        </w:rPr>
        <w:t xml:space="preserve"> and Katarina Tomašević at </w:t>
      </w:r>
      <w:r>
        <w:fldChar w:fldCharType="begin"/>
      </w:r>
      <w:r>
        <w:instrText xml:space="preserve"> HYPERLINK "mailto:katarinatomasevic8@gmail.com" </w:instrText>
      </w:r>
      <w:r>
        <w:fldChar w:fldCharType="separate"/>
      </w:r>
      <w:r>
        <w:rPr>
          <w:rStyle w:val="23"/>
          <w:rFonts w:ascii="Aptos" w:hAnsi="Aptos" w:eastAsia="Times New Roman" w:cs="Segoe UI"/>
          <w:b/>
          <w:bCs/>
          <w:kern w:val="0"/>
          <w:szCs w:val="22"/>
          <w14:ligatures w14:val="none"/>
        </w:rPr>
        <w:t>katarinatomasevic8@gmail.com</w:t>
      </w:r>
      <w:r>
        <w:rPr>
          <w:rStyle w:val="23"/>
          <w:rFonts w:ascii="Aptos" w:hAnsi="Aptos" w:eastAsia="Times New Roman" w:cs="Segoe UI"/>
          <w:b/>
          <w:bCs/>
          <w:kern w:val="0"/>
          <w:szCs w:val="22"/>
          <w14:ligatures w14:val="none"/>
        </w:rPr>
        <w:fldChar w:fldCharType="end"/>
      </w:r>
      <w:r>
        <w:rPr>
          <w:rFonts w:ascii="Aptos" w:hAnsi="Aptos" w:eastAsia="Times New Roman" w:cs="Segoe UI"/>
          <w:b/>
          <w:bCs/>
          <w:kern w:val="0"/>
          <w:szCs w:val="22"/>
          <w14:ligatures w14:val="none"/>
        </w:rPr>
        <w:t>,</w:t>
      </w:r>
      <w:r>
        <w:rPr>
          <w:rFonts w:ascii="Aptos" w:hAnsi="Aptos" w:eastAsia="Times New Roman" w:cs="Segoe UI"/>
          <w:kern w:val="0"/>
          <w:szCs w:val="22"/>
          <w14:ligatures w14:val="none"/>
        </w:rPr>
        <w:t xml:space="preserve"> with </w:t>
      </w:r>
      <w:r>
        <w:fldChar w:fldCharType="begin"/>
      </w:r>
      <w:r>
        <w:instrText xml:space="preserve"> HYPERLINK "mailto:rzc@bibija.org.rs" </w:instrText>
      </w:r>
      <w:r>
        <w:fldChar w:fldCharType="separate"/>
      </w:r>
      <w:r>
        <w:rPr>
          <w:rStyle w:val="23"/>
          <w:rFonts w:ascii="Aptos" w:hAnsi="Aptos" w:eastAsia="Times New Roman" w:cs="Segoe UI"/>
          <w:b/>
          <w:bCs/>
          <w:kern w:val="0"/>
          <w:szCs w:val="22"/>
          <w14:ligatures w14:val="none"/>
        </w:rPr>
        <w:t>rzc@bibija.org.rs</w:t>
      </w:r>
      <w:r>
        <w:rPr>
          <w:rStyle w:val="23"/>
          <w:rFonts w:ascii="Aptos" w:hAnsi="Aptos" w:eastAsia="Times New Roman" w:cs="Segoe UI"/>
          <w:b/>
          <w:bCs/>
          <w:kern w:val="0"/>
          <w:szCs w:val="22"/>
          <w14:ligatures w14:val="none"/>
        </w:rPr>
        <w:fldChar w:fldCharType="end"/>
      </w:r>
      <w:r>
        <w:rPr>
          <w:rFonts w:ascii="Aptos" w:hAnsi="Aptos" w:eastAsia="Times New Roman" w:cs="Segoe UI"/>
          <w:kern w:val="0"/>
          <w:szCs w:val="22"/>
          <w14:ligatures w14:val="none"/>
        </w:rPr>
        <w:t xml:space="preserve"> on CC </w:t>
      </w:r>
      <w:r>
        <w:rPr>
          <w:rFonts w:ascii="Aptos" w:hAnsi="Aptos" w:eastAsia="Times New Roman" w:cs="Segoe UI"/>
          <w:b/>
          <w:bCs/>
          <w:kern w:val="0"/>
          <w:szCs w:val="22"/>
          <w14:ligatures w14:val="none"/>
        </w:rPr>
        <w:t>by 23:59 on 29/08/2026</w:t>
      </w:r>
      <w:r>
        <w:rPr>
          <w:rFonts w:ascii="Aptos" w:hAnsi="Aptos" w:eastAsia="Times New Roman" w:cs="Segoe UI"/>
          <w:i/>
          <w:iCs/>
          <w:kern w:val="0"/>
          <w:szCs w:val="22"/>
          <w14:ligatures w14:val="none"/>
        </w:rPr>
        <w:t>.</w:t>
      </w:r>
      <w:r>
        <w:rPr>
          <w:rFonts w:ascii="Aptos" w:hAnsi="Aptos" w:eastAsia="Times New Roman" w:cs="Segoe UI"/>
          <w:kern w:val="0"/>
          <w:szCs w:val="22"/>
          <w14:ligatures w14:val="none"/>
        </w:rPr>
        <w:t> Incomplete applications or applications received after the deadline will not be considered. Only shortlisted candidates will be contacted.</w:t>
      </w:r>
    </w:p>
    <w:p w14:paraId="12E43D04">
      <w:pPr>
        <w:pStyle w:val="2"/>
      </w:pPr>
      <w:bookmarkStart w:id="48" w:name="_Toc237970512"/>
      <w:r>
        <w:t>RESOURCES</w:t>
      </w:r>
      <w:bookmarkEnd w:id="48"/>
    </w:p>
    <w:p w14:paraId="4C40B2A7">
      <w:pPr>
        <w:spacing w:after="120" w:line="240" w:lineRule="auto"/>
        <w:jc w:val="both"/>
        <w:rPr>
          <w:rFonts w:cs="Calibri"/>
          <w:b/>
          <w:bCs/>
          <w:szCs w:val="22"/>
        </w:rPr>
      </w:pPr>
      <w:r>
        <w:rPr>
          <w:rFonts w:cs="Calibri"/>
          <w:szCs w:val="22"/>
        </w:rPr>
        <w:t xml:space="preserve">The evaluator must read the evaluation guidance and make sure to include mandatory components and ensure that the evaluation adheres to quality standards: </w:t>
      </w:r>
    </w:p>
    <w:p w14:paraId="5951C22B">
      <w:pPr>
        <w:pStyle w:val="44"/>
        <w:numPr>
          <w:ilvl w:val="0"/>
          <w:numId w:val="13"/>
        </w:numPr>
        <w:spacing w:after="120" w:line="240" w:lineRule="auto"/>
        <w:jc w:val="both"/>
        <w:rPr>
          <w:rFonts w:cs="Calibri"/>
          <w:b/>
          <w:bCs/>
          <w:szCs w:val="22"/>
        </w:rPr>
      </w:pPr>
      <w:r>
        <w:fldChar w:fldCharType="begin"/>
      </w:r>
      <w:r>
        <w:instrText xml:space="preserve"> HYPERLINK "https://drive.google.com/file/d/18755febEL0dW-87Bka6KHFjVm8bZncnH/view?usp=sharing" </w:instrText>
      </w:r>
      <w:r>
        <w:fldChar w:fldCharType="separate"/>
      </w:r>
      <w:r>
        <w:rPr>
          <w:rStyle w:val="23"/>
          <w:rFonts w:cs="Calibri"/>
          <w:b/>
          <w:bCs/>
          <w:szCs w:val="22"/>
        </w:rPr>
        <w:t>UN Trust Fund Evaluation Guidance for Evaluators</w:t>
      </w:r>
      <w:r>
        <w:rPr>
          <w:rStyle w:val="23"/>
          <w:rFonts w:cs="Calibri"/>
          <w:b/>
          <w:bCs/>
          <w:szCs w:val="22"/>
        </w:rPr>
        <w:fldChar w:fldCharType="end"/>
      </w:r>
    </w:p>
    <w:p w14:paraId="39C0C2F4">
      <w:pPr>
        <w:spacing w:after="120" w:line="240" w:lineRule="auto"/>
        <w:jc w:val="both"/>
        <w:rPr>
          <w:rFonts w:cs="Calibri"/>
          <w:szCs w:val="22"/>
        </w:rPr>
      </w:pPr>
      <w:r>
        <w:rPr>
          <w:rFonts w:cs="Calibri"/>
          <w:szCs w:val="22"/>
        </w:rPr>
        <w:t>The UN Trust Fund has developed a range of standardised resources available to support the evaluation process, ensuring consistency and compliance. These templates are designed and can be adapted as needed:</w:t>
      </w:r>
    </w:p>
    <w:p w14:paraId="38D3E3AC">
      <w:pPr>
        <w:numPr>
          <w:ilvl w:val="0"/>
          <w:numId w:val="14"/>
        </w:numPr>
        <w:spacing w:after="0" w:line="240" w:lineRule="auto"/>
        <w:jc w:val="both"/>
        <w:rPr>
          <w:rStyle w:val="23"/>
          <w:rFonts w:cs="Calibri"/>
          <w:szCs w:val="22"/>
        </w:rPr>
      </w:pPr>
      <w:r>
        <w:rPr>
          <w:rFonts w:cs="Calibri"/>
          <w:b/>
          <w:bCs/>
          <w:szCs w:val="22"/>
        </w:rPr>
        <w:fldChar w:fldCharType="begin"/>
      </w:r>
      <w:r>
        <w:rPr>
          <w:rFonts w:cs="Calibri"/>
          <w:b/>
          <w:bCs/>
          <w:szCs w:val="22"/>
        </w:rPr>
        <w:instrText xml:space="preserve">HYPERLINK "https://drive.google.com/drive/folders/1Jd1MVHIDGqhDVkKUEycI22kkO3LVitoq?usp=sharing"</w:instrText>
      </w:r>
      <w:r>
        <w:rPr>
          <w:rFonts w:cs="Calibri"/>
          <w:b/>
          <w:bCs/>
          <w:szCs w:val="22"/>
        </w:rPr>
        <w:fldChar w:fldCharType="separate"/>
      </w:r>
      <w:r>
        <w:rPr>
          <w:rStyle w:val="23"/>
          <w:rFonts w:cs="Calibri"/>
          <w:b/>
          <w:bCs/>
          <w:szCs w:val="22"/>
        </w:rPr>
        <w:t>Inception Report Template</w:t>
      </w:r>
    </w:p>
    <w:p w14:paraId="33D21C58">
      <w:pPr>
        <w:numPr>
          <w:ilvl w:val="0"/>
          <w:numId w:val="14"/>
        </w:numPr>
        <w:spacing w:after="0" w:line="240" w:lineRule="auto"/>
        <w:jc w:val="both"/>
        <w:rPr>
          <w:rFonts w:cs="Calibri"/>
          <w:szCs w:val="22"/>
        </w:rPr>
      </w:pPr>
      <w:r>
        <w:rPr>
          <w:rStyle w:val="23"/>
          <w:rFonts w:cs="Calibri"/>
          <w:b/>
          <w:bCs/>
          <w:szCs w:val="22"/>
        </w:rPr>
        <w:t>Evaluation Report Templates</w:t>
      </w:r>
      <w:r>
        <w:rPr>
          <w:rFonts w:cs="Calibri"/>
          <w:b/>
          <w:bCs/>
          <w:szCs w:val="22"/>
        </w:rPr>
        <w:fldChar w:fldCharType="end"/>
      </w:r>
    </w:p>
    <w:p w14:paraId="366AACA4">
      <w:pPr>
        <w:spacing w:after="0" w:line="240" w:lineRule="auto"/>
        <w:jc w:val="both"/>
        <w:rPr>
          <w:rFonts w:cs="Calibri"/>
          <w:szCs w:val="22"/>
        </w:rPr>
      </w:pPr>
      <w:r>
        <w:rPr>
          <w:rFonts w:cs="Calibri"/>
          <w:szCs w:val="22"/>
        </w:rPr>
        <w:t>These templates will be provided upon the selection of the evaluator(s).</w:t>
      </w:r>
    </w:p>
    <w:p w14:paraId="33E9AF94">
      <w:pPr>
        <w:spacing w:after="0" w:line="240" w:lineRule="auto"/>
        <w:jc w:val="both"/>
        <w:rPr>
          <w:rFonts w:cs="Calibri"/>
          <w:szCs w:val="22"/>
        </w:rPr>
      </w:pPr>
    </w:p>
    <w:p w14:paraId="5347FDA3">
      <w:pPr>
        <w:spacing w:after="120" w:line="240" w:lineRule="auto"/>
        <w:jc w:val="both"/>
        <w:rPr>
          <w:szCs w:val="22"/>
        </w:rPr>
      </w:pPr>
      <w:r>
        <w:rPr>
          <w:szCs w:val="22"/>
        </w:rPr>
        <w:t xml:space="preserve">Additional forms are available to help you prepare the evaluation report. Whilst it is mandatory to include the consent form and collect informed consent, and to declare the use of AI in the evaluation report, the example forms provided are tools that evaluators may use or adapt as helpful or create their own. </w:t>
      </w:r>
    </w:p>
    <w:p w14:paraId="29DD2D24">
      <w:pPr>
        <w:pStyle w:val="44"/>
        <w:numPr>
          <w:ilvl w:val="0"/>
          <w:numId w:val="15"/>
        </w:numPr>
        <w:spacing w:after="120" w:line="240" w:lineRule="auto"/>
        <w:jc w:val="both"/>
        <w:rPr>
          <w:rFonts w:cs="Calibri"/>
          <w:b/>
          <w:bCs/>
          <w:szCs w:val="22"/>
        </w:rPr>
      </w:pPr>
      <w:r>
        <w:fldChar w:fldCharType="begin"/>
      </w:r>
      <w:r>
        <w:instrText xml:space="preserve"> HYPERLINK "https://docs.google.com/document/d/1tQnw3iSx-VLJE1AYcHPz7jYMZZjwjRVy/edit?usp=sharing&amp;ouid=100436603348566579171&amp;rtpof=true&amp;sd=true" </w:instrText>
      </w:r>
      <w:r>
        <w:fldChar w:fldCharType="separate"/>
      </w:r>
      <w:r>
        <w:rPr>
          <w:rStyle w:val="23"/>
          <w:rFonts w:cs="Calibri"/>
          <w:b/>
          <w:bCs/>
          <w:szCs w:val="22"/>
        </w:rPr>
        <w:t>Example consent form</w:t>
      </w:r>
      <w:r>
        <w:rPr>
          <w:rStyle w:val="23"/>
          <w:rFonts w:cs="Calibri"/>
          <w:b/>
          <w:bCs/>
          <w:szCs w:val="22"/>
        </w:rPr>
        <w:fldChar w:fldCharType="end"/>
      </w:r>
    </w:p>
    <w:p w14:paraId="25199346">
      <w:pPr>
        <w:pStyle w:val="44"/>
        <w:numPr>
          <w:ilvl w:val="0"/>
          <w:numId w:val="15"/>
        </w:numPr>
        <w:spacing w:after="120" w:line="240" w:lineRule="auto"/>
        <w:jc w:val="both"/>
        <w:rPr>
          <w:rFonts w:cs="Calibri"/>
          <w:b/>
          <w:bCs/>
          <w:szCs w:val="22"/>
        </w:rPr>
      </w:pPr>
      <w:r>
        <w:fldChar w:fldCharType="begin"/>
      </w:r>
      <w:r>
        <w:instrText xml:space="preserve"> HYPERLINK "https://docs.google.com/document/d/1Ms5iqRvcZ_hoOI9fXFpE3C-x-JnHxbVv/edit?usp=sharing&amp;ouid=100436603348566579171&amp;rtpof=true&amp;sd=true" </w:instrText>
      </w:r>
      <w:r>
        <w:fldChar w:fldCharType="separate"/>
      </w:r>
      <w:r>
        <w:rPr>
          <w:rStyle w:val="23"/>
          <w:rFonts w:cs="Calibri"/>
          <w:b/>
          <w:bCs/>
          <w:szCs w:val="22"/>
        </w:rPr>
        <w:t>Example of AI use in evaluation declaration</w:t>
      </w:r>
      <w:r>
        <w:rPr>
          <w:rStyle w:val="23"/>
          <w:rFonts w:cs="Calibri"/>
          <w:b/>
          <w:bCs/>
          <w:szCs w:val="22"/>
        </w:rPr>
        <w:fldChar w:fldCharType="end"/>
      </w:r>
    </w:p>
    <w:p w14:paraId="178233CE">
      <w:pPr>
        <w:spacing w:after="120" w:line="240" w:lineRule="auto"/>
        <w:jc w:val="both"/>
        <w:rPr>
          <w:rFonts w:cs="Calibri"/>
          <w:szCs w:val="22"/>
        </w:rPr>
      </w:pPr>
      <w:r>
        <w:rPr>
          <w:rFonts w:cs="Calibri"/>
          <w:szCs w:val="22"/>
        </w:rPr>
        <w:t xml:space="preserve">These tools facilitate structured planning, execution, and reporting aligned with UN Trust Fund standards. </w:t>
      </w:r>
    </w:p>
    <w:p w14:paraId="44562EB7">
      <w:pPr>
        <w:pStyle w:val="2"/>
        <w:numPr>
          <w:ilvl w:val="0"/>
          <w:numId w:val="0"/>
        </w:numPr>
      </w:pPr>
      <w:bookmarkStart w:id="49" w:name="_Toc237970513"/>
      <w:r>
        <w:t>FURTHER READING &amp; RESOURCES</w:t>
      </w:r>
      <w:bookmarkEnd w:id="49"/>
    </w:p>
    <w:p w14:paraId="43F8C1E2">
      <w:pPr>
        <w:jc w:val="both"/>
      </w:pPr>
      <w:r>
        <w:t xml:space="preserve">Romska ženska mreža Srbije. </w:t>
      </w:r>
      <w:r>
        <w:fldChar w:fldCharType="begin"/>
      </w:r>
      <w:r>
        <w:instrText xml:space="preserve"> HYPERLINK "https://rzm.rs/wp-content/uploads/2023/04/REZULTATI-ISTRAZIVANJA-O-RASPROSTRANJENOSTI-DECIJIH-BRAKOVA-U-SRBIJI-1.pdf" </w:instrText>
      </w:r>
      <w:r>
        <w:fldChar w:fldCharType="separate"/>
      </w:r>
      <w:r>
        <w:rPr>
          <w:rStyle w:val="23"/>
          <w:i/>
          <w:iCs/>
        </w:rPr>
        <w:t>Rezultati istraživanja o rasprostranjenosti dečijih brakova u Srbiji</w:t>
      </w:r>
      <w:r>
        <w:rPr>
          <w:rStyle w:val="23"/>
          <w:i/>
          <w:iCs/>
        </w:rPr>
        <w:fldChar w:fldCharType="end"/>
      </w:r>
      <w:r>
        <w:t xml:space="preserve">. Beograd: AKT. (2022) </w:t>
      </w:r>
    </w:p>
    <w:p w14:paraId="305B59CC">
      <w:pPr>
        <w:jc w:val="both"/>
      </w:pPr>
      <w:r>
        <w:t xml:space="preserve">Statistical Office of the Republic of Serbia and UNICEF. </w:t>
      </w:r>
      <w:r>
        <w:fldChar w:fldCharType="begin"/>
      </w:r>
      <w:r>
        <w:instrText xml:space="preserve"> HYPERLINK "https://www.unicef.org/serbia/media/16076/file/MICS%206%20Multiple%20Indicator%20Cluster%20Survey.pdf" </w:instrText>
      </w:r>
      <w:r>
        <w:fldChar w:fldCharType="separate"/>
      </w:r>
      <w:r>
        <w:rPr>
          <w:rStyle w:val="23"/>
        </w:rPr>
        <w:t>Serbia Multiple Indicator Cluster Survey and Serbia Roma Settlements Multiple Indicator Cluster Survey, 2019, Survey Findings Report</w:t>
      </w:r>
      <w:r>
        <w:rPr>
          <w:rStyle w:val="23"/>
        </w:rPr>
        <w:fldChar w:fldCharType="end"/>
      </w:r>
      <w:r>
        <w:t>. Belgrade, Serbia: Statistical Office of the Republic of Serbia and UNICEF. (2019)</w:t>
      </w:r>
    </w:p>
    <w:p w14:paraId="4E1E269A">
      <w:pPr>
        <w:jc w:val="both"/>
        <w:rPr>
          <w:szCs w:val="22"/>
        </w:rPr>
      </w:pPr>
      <w:r>
        <w:rPr>
          <w:szCs w:val="22"/>
        </w:rPr>
        <w:t xml:space="preserve">UN Women’s Evaluation Handbook: </w:t>
      </w:r>
      <w:r>
        <w:fldChar w:fldCharType="begin"/>
      </w:r>
      <w:r>
        <w:instrText xml:space="preserve"> HYPERLINK "https://www.unwomen.org/en/digital-library/publications/2022/05/un-women-evaluation-handbook-2022" </w:instrText>
      </w:r>
      <w:r>
        <w:fldChar w:fldCharType="separate"/>
      </w:r>
      <w:r>
        <w:rPr>
          <w:rStyle w:val="23"/>
          <w:szCs w:val="22"/>
        </w:rPr>
        <w:t>How to Manage Gender-Responsive Evaluation</w:t>
      </w:r>
      <w:r>
        <w:rPr>
          <w:rStyle w:val="23"/>
          <w:szCs w:val="22"/>
        </w:rPr>
        <w:fldChar w:fldCharType="end"/>
      </w:r>
      <w:r>
        <w:rPr>
          <w:szCs w:val="22"/>
        </w:rPr>
        <w:t xml:space="preserve"> (2022)</w:t>
      </w:r>
    </w:p>
    <w:p w14:paraId="75BBC466">
      <w:pPr>
        <w:jc w:val="both"/>
        <w:rPr>
          <w:rFonts w:eastAsia="Calibri" w:cs="Calibri"/>
          <w:color w:val="000000"/>
          <w:szCs w:val="22"/>
        </w:rPr>
      </w:pPr>
      <w:r>
        <w:rPr>
          <w:rFonts w:eastAsia="Calibri" w:cs="Calibri"/>
          <w:color w:val="000000"/>
          <w:szCs w:val="22"/>
        </w:rPr>
        <w:t xml:space="preserve">UN Women’s Guidance Note: </w:t>
      </w:r>
      <w:r>
        <w:fldChar w:fldCharType="begin"/>
      </w:r>
      <w:r>
        <w:instrText xml:space="preserve"> HYPERLINK "https://www.unwomen.org/sites/default/files/2022-06/Evaluation-GERAAS-guidance-2021-en.pdf" </w:instrText>
      </w:r>
      <w:r>
        <w:fldChar w:fldCharType="separate"/>
      </w:r>
      <w:r>
        <w:rPr>
          <w:rStyle w:val="23"/>
          <w:rFonts w:eastAsia="Calibri" w:cs="Calibri"/>
          <w:szCs w:val="22"/>
        </w:rPr>
        <w:t>Global Evaluation Report Assessment and Analysis System (GERAAS)</w:t>
      </w:r>
      <w:r>
        <w:rPr>
          <w:rStyle w:val="23"/>
          <w:rFonts w:eastAsia="Calibri" w:cs="Calibri"/>
          <w:szCs w:val="22"/>
        </w:rPr>
        <w:fldChar w:fldCharType="end"/>
      </w:r>
      <w:r>
        <w:rPr>
          <w:rFonts w:eastAsia="Calibri" w:cs="Calibri"/>
          <w:color w:val="000000"/>
          <w:szCs w:val="22"/>
        </w:rPr>
        <w:t xml:space="preserve"> (2021)</w:t>
      </w:r>
    </w:p>
    <w:p w14:paraId="5E344273">
      <w:pPr>
        <w:jc w:val="both"/>
      </w:pPr>
      <w:r>
        <w:rPr>
          <w:rFonts w:eastAsia="Calibri" w:cs="Calibri"/>
          <w:color w:val="000000"/>
          <w:szCs w:val="22"/>
        </w:rPr>
        <w:t xml:space="preserve">UN Trust Fund’s </w:t>
      </w:r>
      <w:r>
        <w:fldChar w:fldCharType="begin"/>
      </w:r>
      <w:r>
        <w:instrText xml:space="preserve"> HYPERLINK "https://untf.unwomen.org/en/learning-hub/evaluations" </w:instrText>
      </w:r>
      <w:r>
        <w:fldChar w:fldCharType="separate"/>
      </w:r>
      <w:r>
        <w:rPr>
          <w:rStyle w:val="23"/>
          <w:rFonts w:eastAsia="Calibri" w:cs="Calibri"/>
          <w:szCs w:val="22"/>
        </w:rPr>
        <w:t>Evaluation Library</w:t>
      </w:r>
      <w:r>
        <w:rPr>
          <w:rStyle w:val="23"/>
          <w:rFonts w:eastAsia="Calibri" w:cs="Calibri"/>
          <w:szCs w:val="22"/>
        </w:rPr>
        <w:fldChar w:fldCharType="end"/>
      </w:r>
    </w:p>
    <w:p w14:paraId="40D4C673">
      <w:pPr>
        <w:jc w:val="both"/>
        <w:rPr>
          <w:rFonts w:eastAsia="Calibri" w:cs="Calibri"/>
          <w:color w:val="000000"/>
          <w:szCs w:val="22"/>
        </w:rPr>
      </w:pPr>
      <w:r>
        <w:rPr>
          <w:rFonts w:eastAsia="Calibri" w:cs="Calibri"/>
          <w:color w:val="000000"/>
          <w:szCs w:val="22"/>
        </w:rPr>
        <w:t xml:space="preserve">UN Trust Fund’s </w:t>
      </w:r>
      <w:r>
        <w:fldChar w:fldCharType="begin"/>
      </w:r>
      <w:r>
        <w:instrText xml:space="preserve"> HYPERLINK "https://docs.google.com/document/d/1Ms5iqRvcZ_hoOI9fXFpE3C-x-JnHxbVv/edit?usp=sharing&amp;ouid=100436603348566579171&amp;rtpof=true&amp;sd=true" </w:instrText>
      </w:r>
      <w:r>
        <w:fldChar w:fldCharType="separate"/>
      </w:r>
      <w:r>
        <w:rPr>
          <w:rStyle w:val="23"/>
          <w:rFonts w:eastAsia="Calibri" w:cs="Calibri"/>
          <w:szCs w:val="22"/>
        </w:rPr>
        <w:t>DECLARATION OF THE USE OF AI IN EVALUATIONS</w:t>
      </w:r>
      <w:r>
        <w:rPr>
          <w:rStyle w:val="23"/>
          <w:rFonts w:eastAsia="Calibri" w:cs="Calibri"/>
          <w:szCs w:val="22"/>
        </w:rPr>
        <w:fldChar w:fldCharType="end"/>
      </w:r>
    </w:p>
    <w:p w14:paraId="037C4F89">
      <w:pPr>
        <w:jc w:val="both"/>
        <w:rPr>
          <w:rFonts w:eastAsia="Calibri" w:cs="Calibri"/>
          <w:color w:val="000000"/>
          <w:szCs w:val="22"/>
        </w:rPr>
      </w:pPr>
      <w:r>
        <w:rPr>
          <w:rFonts w:eastAsia="Calibri" w:cs="Calibri"/>
          <w:color w:val="000000"/>
          <w:szCs w:val="22"/>
        </w:rPr>
        <w:t xml:space="preserve">UN Trust Fund. </w:t>
      </w:r>
      <w:r>
        <w:fldChar w:fldCharType="begin"/>
      </w:r>
      <w:r>
        <w:instrText xml:space="preserve"> HYPERLINK "https://drive.google.com/file/d/18755febEL0dW-87Bka6KHFjVm8bZncnH/view?usp=sharing" </w:instrText>
      </w:r>
      <w:r>
        <w:fldChar w:fldCharType="separate"/>
      </w:r>
      <w:r>
        <w:rPr>
          <w:rStyle w:val="23"/>
          <w:rFonts w:eastAsia="Calibri" w:cs="Calibri"/>
          <w:i/>
          <w:iCs/>
          <w:szCs w:val="22"/>
        </w:rPr>
        <w:t>Evaluation Guidance for Evaluators</w:t>
      </w:r>
      <w:r>
        <w:rPr>
          <w:rStyle w:val="23"/>
          <w:rFonts w:eastAsia="Calibri" w:cs="Calibri"/>
          <w:i/>
          <w:iCs/>
          <w:szCs w:val="22"/>
        </w:rPr>
        <w:fldChar w:fldCharType="end"/>
      </w:r>
      <w:r>
        <w:rPr>
          <w:rFonts w:eastAsia="Calibri" w:cs="Calibri"/>
          <w:color w:val="000000"/>
          <w:szCs w:val="22"/>
        </w:rPr>
        <w:t xml:space="preserve"> (2026)</w:t>
      </w:r>
    </w:p>
    <w:p w14:paraId="1AA8F5E8">
      <w:pPr>
        <w:jc w:val="both"/>
        <w:rPr>
          <w:rFonts w:eastAsia="Calibri" w:cs="Calibri"/>
          <w:color w:val="000000"/>
          <w:szCs w:val="22"/>
        </w:rPr>
      </w:pPr>
      <w:r>
        <w:rPr>
          <w:rFonts w:eastAsia="Calibri" w:cs="Calibri"/>
          <w:color w:val="000000"/>
          <w:szCs w:val="22"/>
        </w:rPr>
        <w:t xml:space="preserve">UN Trust Fund’s </w:t>
      </w:r>
      <w:r>
        <w:fldChar w:fldCharType="begin"/>
      </w:r>
      <w:r>
        <w:instrText xml:space="preserve"> HYPERLINK "https://docs.google.com/document/d/1tQnw3iSx-VLJE1AYcHPz7jYMZZjwjRVy/edit?usp=sharing&amp;ouid=100436603348566579171&amp;rtpof=true&amp;sd=true" </w:instrText>
      </w:r>
      <w:r>
        <w:fldChar w:fldCharType="separate"/>
      </w:r>
      <w:r>
        <w:rPr>
          <w:rStyle w:val="23"/>
          <w:rFonts w:eastAsia="Calibri" w:cs="Calibri"/>
          <w:szCs w:val="22"/>
        </w:rPr>
        <w:t>EXAMPLE CONSENT FORM</w:t>
      </w:r>
      <w:r>
        <w:rPr>
          <w:rStyle w:val="23"/>
          <w:rFonts w:eastAsia="Calibri" w:cs="Calibri"/>
          <w:szCs w:val="22"/>
        </w:rPr>
        <w:fldChar w:fldCharType="end"/>
      </w:r>
    </w:p>
    <w:p w14:paraId="43E89EBA">
      <w:pPr>
        <w:jc w:val="both"/>
      </w:pPr>
      <w:r>
        <w:rPr>
          <w:rFonts w:eastAsia="Calibri" w:cs="Calibri"/>
          <w:color w:val="000000"/>
          <w:szCs w:val="22"/>
        </w:rPr>
        <w:t xml:space="preserve">United Nations Evaluation Group: </w:t>
      </w:r>
      <w:r>
        <w:fldChar w:fldCharType="begin"/>
      </w:r>
      <w:r>
        <w:instrText xml:space="preserve"> HYPERLINK "https://www.unevaluation.org/sites/default/files/file_uploads/2025_Ethical%20Principles%20for%20Using%20AI%20in%20UN%20Evaluations.pdf" </w:instrText>
      </w:r>
      <w:r>
        <w:fldChar w:fldCharType="separate"/>
      </w:r>
      <w:r>
        <w:rPr>
          <w:rStyle w:val="23"/>
          <w:rFonts w:eastAsia="Calibri" w:cs="Calibri"/>
          <w:szCs w:val="22"/>
        </w:rPr>
        <w:t>Ethical Principles for Harnessing AI in United Nations Evaluations</w:t>
      </w:r>
      <w:r>
        <w:rPr>
          <w:rStyle w:val="23"/>
          <w:rFonts w:eastAsia="Calibri" w:cs="Calibri"/>
          <w:szCs w:val="22"/>
        </w:rPr>
        <w:fldChar w:fldCharType="end"/>
      </w:r>
      <w:r>
        <w:rPr>
          <w:rFonts w:eastAsia="Calibri" w:cs="Calibri"/>
          <w:color w:val="000000"/>
          <w:szCs w:val="22"/>
        </w:rPr>
        <w:t xml:space="preserve"> (2025)</w:t>
      </w:r>
    </w:p>
    <w:p w14:paraId="21855550">
      <w:pPr>
        <w:jc w:val="both"/>
        <w:rPr>
          <w:rFonts w:eastAsiaTheme="minorEastAsia"/>
          <w:szCs w:val="22"/>
        </w:rPr>
      </w:pPr>
      <w:r>
        <w:rPr>
          <w:rFonts w:eastAsiaTheme="minorEastAsia"/>
          <w:szCs w:val="22"/>
        </w:rPr>
        <w:t xml:space="preserve">United Nations Children's Fund (UNICEF)’s Procedure: </w:t>
      </w:r>
      <w:r>
        <w:fldChar w:fldCharType="begin"/>
      </w:r>
      <w:r>
        <w:instrText xml:space="preserve"> HYPERLINK "https://www.unicef.org/bulgaria/sites/unicef.org.bulgaria/files/2018-09/Annex_UNICEF_Procedure_for_Ethical_Standards.pdf" \h </w:instrText>
      </w:r>
      <w:r>
        <w:fldChar w:fldCharType="separate"/>
      </w:r>
      <w:r>
        <w:rPr>
          <w:rStyle w:val="23"/>
          <w:szCs w:val="22"/>
        </w:rPr>
        <w:t>Procedure for Ethical Standards in Research, Evaluation, Data Collection and Analysis</w:t>
      </w:r>
      <w:r>
        <w:rPr>
          <w:rStyle w:val="23"/>
          <w:szCs w:val="22"/>
        </w:rPr>
        <w:fldChar w:fldCharType="end"/>
      </w:r>
      <w:r>
        <w:rPr>
          <w:rFonts w:eastAsiaTheme="minorEastAsia"/>
          <w:szCs w:val="22"/>
        </w:rPr>
        <w:t xml:space="preserve"> (2015)</w:t>
      </w:r>
    </w:p>
    <w:p w14:paraId="1326A4F3">
      <w:pPr>
        <w:jc w:val="both"/>
        <w:rPr>
          <w:rFonts w:eastAsiaTheme="minorEastAsia"/>
          <w:szCs w:val="22"/>
        </w:rPr>
      </w:pPr>
      <w:r>
        <w:rPr>
          <w:rFonts w:eastAsiaTheme="minorEastAsia"/>
          <w:szCs w:val="22"/>
        </w:rPr>
        <w:t xml:space="preserve">UNICEF’s Guidance: </w:t>
      </w:r>
      <w:r>
        <w:fldChar w:fldCharType="begin"/>
      </w:r>
      <w:r>
        <w:instrText xml:space="preserve"> HYPERLINK "https://data.unicef.org/resources/research-on-violence-against-children-during-the-covid-19-pandemic-guidance/" \h </w:instrText>
      </w:r>
      <w:r>
        <w:fldChar w:fldCharType="separate"/>
      </w:r>
      <w:r>
        <w:rPr>
          <w:rStyle w:val="23"/>
          <w:szCs w:val="22"/>
        </w:rPr>
        <w:t>Research on violence against children during the COVID-19 pandemic</w:t>
      </w:r>
      <w:r>
        <w:rPr>
          <w:rStyle w:val="23"/>
          <w:szCs w:val="22"/>
        </w:rPr>
        <w:fldChar w:fldCharType="end"/>
      </w:r>
      <w:r>
        <w:rPr>
          <w:rFonts w:eastAsiaTheme="minorEastAsia"/>
          <w:szCs w:val="22"/>
        </w:rPr>
        <w:t xml:space="preserve"> (2020)</w:t>
      </w:r>
    </w:p>
    <w:p w14:paraId="4C92AB4F">
      <w:pPr>
        <w:jc w:val="both"/>
        <w:rPr>
          <w:szCs w:val="22"/>
        </w:rPr>
      </w:pPr>
      <w:r>
        <w:rPr>
          <w:rFonts w:eastAsia="Calibri" w:cs="Calibri"/>
          <w:color w:val="000000"/>
          <w:szCs w:val="22"/>
        </w:rPr>
        <w:t xml:space="preserve">United Nations Evaluation Group (UNEG): </w:t>
      </w:r>
      <w:r>
        <w:fldChar w:fldCharType="begin"/>
      </w:r>
      <w:r>
        <w:instrText xml:space="preserve"> HYPERLINK "https://www.unevaluation.org/sites/default/files/file_uploads/2025_Ethical%20Principles%20for%20Using%20AI%20in%20UN%20Evaluations.pdf" </w:instrText>
      </w:r>
      <w:r>
        <w:fldChar w:fldCharType="separate"/>
      </w:r>
      <w:r>
        <w:rPr>
          <w:rStyle w:val="23"/>
          <w:rFonts w:eastAsia="Calibri" w:cs="Calibri"/>
          <w:szCs w:val="22"/>
        </w:rPr>
        <w:t>Ethical Principles for Harnessing AI in United Nations Evaluations</w:t>
      </w:r>
      <w:r>
        <w:rPr>
          <w:rStyle w:val="23"/>
          <w:rFonts w:eastAsia="Calibri" w:cs="Calibri"/>
          <w:szCs w:val="22"/>
        </w:rPr>
        <w:fldChar w:fldCharType="end"/>
      </w:r>
      <w:r>
        <w:rPr>
          <w:rFonts w:eastAsia="Calibri" w:cs="Calibri"/>
          <w:color w:val="000000"/>
          <w:szCs w:val="22"/>
        </w:rPr>
        <w:t xml:space="preserve"> (2025)</w:t>
      </w:r>
    </w:p>
    <w:p w14:paraId="31C2D5E9">
      <w:pPr>
        <w:jc w:val="both"/>
        <w:rPr>
          <w:szCs w:val="22"/>
        </w:rPr>
      </w:pPr>
      <w:r>
        <w:rPr>
          <w:szCs w:val="22"/>
        </w:rPr>
        <w:t xml:space="preserve">United Nations Population Fund (UNFPA): </w:t>
      </w:r>
      <w:r>
        <w:fldChar w:fldCharType="begin"/>
      </w:r>
      <w:r>
        <w:instrText xml:space="preserve"> HYPERLINK "https://www.unfpa.org/admin-resource/genai-powered-evaluation-function-unfpa" \h </w:instrText>
      </w:r>
      <w:r>
        <w:fldChar w:fldCharType="separate"/>
      </w:r>
      <w:r>
        <w:rPr>
          <w:rStyle w:val="23"/>
          <w:szCs w:val="22"/>
        </w:rPr>
        <w:t>GenAI-powered evaluation function at UNFPA</w:t>
      </w:r>
      <w:r>
        <w:rPr>
          <w:rStyle w:val="23"/>
          <w:szCs w:val="22"/>
        </w:rPr>
        <w:fldChar w:fldCharType="end"/>
      </w:r>
      <w:r>
        <w:rPr>
          <w:szCs w:val="22"/>
        </w:rPr>
        <w:t xml:space="preserve"> (2024)</w:t>
      </w:r>
    </w:p>
    <w:p w14:paraId="1A9507D1">
      <w:pPr>
        <w:jc w:val="both"/>
      </w:pPr>
      <w:r>
        <w:t xml:space="preserve">World Health Organization (WHO)’s Guidelines: </w:t>
      </w:r>
      <w:r>
        <w:fldChar w:fldCharType="begin"/>
      </w:r>
      <w:r>
        <w:instrText xml:space="preserve"> HYPERLINK "https://iris.who.int/server/api/core/bitstreams/a56121ec-88e0-48a1-b1d9-675504de18ee/content" \h </w:instrText>
      </w:r>
      <w:r>
        <w:fldChar w:fldCharType="separate"/>
      </w:r>
      <w:r>
        <w:rPr>
          <w:rStyle w:val="23"/>
          <w:rFonts w:eastAsiaTheme="minorEastAsia"/>
          <w:szCs w:val="22"/>
        </w:rPr>
        <w:t>Ethical and safety recommendations for intervention research on violence against women</w:t>
      </w:r>
      <w:r>
        <w:rPr>
          <w:rStyle w:val="23"/>
          <w:rFonts w:eastAsiaTheme="minorEastAsia"/>
          <w:szCs w:val="22"/>
        </w:rPr>
        <w:fldChar w:fldCharType="end"/>
      </w:r>
      <w:r>
        <w:t xml:space="preserve"> (2016)</w:t>
      </w:r>
    </w:p>
    <w:p w14:paraId="62598AEE">
      <w:pPr>
        <w:jc w:val="both"/>
        <w:rPr>
          <w:rFonts w:eastAsiaTheme="minorEastAsia"/>
        </w:rPr>
      </w:pPr>
      <w:r>
        <w:rPr>
          <w:rFonts w:eastAsiaTheme="minorEastAsia"/>
        </w:rPr>
        <w:t xml:space="preserve">WHO’s Guidance: </w:t>
      </w:r>
      <w:r>
        <w:fldChar w:fldCharType="begin"/>
      </w:r>
      <w:r>
        <w:instrText xml:space="preserve"> HYPERLINK "https://www.who.int/publications/i/item/9789241508414" \h </w:instrText>
      </w:r>
      <w:r>
        <w:fldChar w:fldCharType="separate"/>
      </w:r>
      <w:r>
        <w:rPr>
          <w:rStyle w:val="23"/>
          <w:szCs w:val="22"/>
        </w:rPr>
        <w:t>Guidance on ethical considerations in planning and reviewing research studies on sexual and reproductive health in adolescents</w:t>
      </w:r>
      <w:r>
        <w:rPr>
          <w:rStyle w:val="23"/>
          <w:szCs w:val="22"/>
        </w:rPr>
        <w:fldChar w:fldCharType="end"/>
      </w:r>
      <w:r>
        <w:rPr>
          <w:rFonts w:eastAsiaTheme="minorEastAsia"/>
        </w:rPr>
        <w:t xml:space="preserve"> (2018)</w:t>
      </w:r>
    </w:p>
    <w:p w14:paraId="5E07B584">
      <w:pPr>
        <w:jc w:val="both"/>
        <w:rPr>
          <w:szCs w:val="22"/>
        </w:rPr>
      </w:pPr>
    </w:p>
    <w:sectPr>
      <w:footerReference r:id="rId5" w:type="default"/>
      <w:pgSz w:w="11906" w:h="16838"/>
      <w:pgMar w:top="1440" w:right="1440" w:bottom="1440" w:left="1440" w:header="720" w:footer="720" w:gutter="0"/>
      <w:cols w:space="720"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altName w:val="Microsoft YaHei"/>
    <w:panose1 w:val="00000000000000000000"/>
    <w:charset w:val="86"/>
    <w:family w:val="auto"/>
    <w:pitch w:val="default"/>
    <w:sig w:usb0="00000000" w:usb1="00000000" w:usb2="00000000" w:usb3="00000000" w:csb0="00000000" w:csb1="00000000"/>
  </w:font>
  <w:font w:name="Aptos">
    <w:altName w:val="Segoe UI"/>
    <w:panose1 w:val="00000000000000000000"/>
    <w:charset w:val="86"/>
    <w:family w:val="swiss"/>
    <w:pitch w:val="default"/>
    <w:sig w:usb0="00000000" w:usb1="00000000" w:usb2="00000000" w:usb3="00000000" w:csb0="0000019F" w:csb1="00000000"/>
  </w:font>
  <w:font w:name="Aptos">
    <w:altName w:val="Segoe UI"/>
    <w:panose1 w:val="00000000000000000000"/>
    <w:charset w:val="00"/>
    <w:family w:val="auto"/>
    <w:pitch w:val="default"/>
    <w:sig w:usb0="00000000" w:usb1="00000000" w:usb2="00000000" w:usb3="00000000" w:csb0="00000000" w:csb1="00000000"/>
  </w:font>
  <w:font w:name="Aptos Display">
    <w:altName w:val="Segoe UI Variable Display"/>
    <w:panose1 w:val="00000000000000000000"/>
    <w:charset w:val="00"/>
    <w:family w:val="swiss"/>
    <w:pitch w:val="default"/>
    <w:sig w:usb0="00000000" w:usb1="00000000" w:usb2="00000000" w:usb3="00000000" w:csb0="0000019F" w:csb1="00000000"/>
  </w:font>
  <w:font w:name="等线 Light">
    <w:altName w:val="Segoe Print"/>
    <w:panose1 w:val="00000000000000000000"/>
    <w:charset w:val="00"/>
    <w:family w:val="auto"/>
    <w:pitch w:val="default"/>
    <w:sig w:usb0="00000000" w:usb1="00000000" w:usb2="00000000" w:usb3="00000000" w:csb0="00000000" w:csb1="00000000"/>
  </w:font>
  <w:font w:name="Mona Sans">
    <w:altName w:val="Calibri"/>
    <w:panose1 w:val="00000000000000000000"/>
    <w:charset w:val="00"/>
    <w:family w:val="auto"/>
    <w:pitch w:val="default"/>
    <w:sig w:usb0="00000000" w:usb1="00000000" w:usb2="00000000" w:usb3="00000000" w:csb0="00000093" w:csb1="00000000"/>
  </w:font>
  <w:font w:name="等线">
    <w:altName w:val="Microsoft YaHei"/>
    <w:panose1 w:val="00000000000000000000"/>
    <w:charset w:val="00"/>
    <w:family w:val="auto"/>
    <w:pitch w:val="default"/>
    <w:sig w:usb0="00000000" w:usb1="00000000" w:usb2="00000000" w:usb3="00000000" w:csb0="00000000" w:csb1="00000000"/>
  </w:font>
  <w:font w:name="Symbol">
    <w:panose1 w:val="05050102010706020507"/>
    <w:charset w:val="02"/>
    <w:family w:val="roman"/>
    <w:pitch w:val="default"/>
    <w:sig w:usb0="00000000" w:usb1="00000000" w:usb2="00000000" w:usb3="00000000" w:csb0="80000000" w:csb1="00000000"/>
  </w:font>
  <w:font w:name="IBM Plex Sans">
    <w:altName w:val="Segoe Print"/>
    <w:panose1 w:val="00000000000000000000"/>
    <w:charset w:val="00"/>
    <w:family w:val="swiss"/>
    <w:pitch w:val="default"/>
    <w:sig w:usb0="00000000" w:usb1="00000000" w:usb2="00000000" w:usb3="00000000" w:csb0="0000019F" w:csb1="00000000"/>
  </w:font>
  <w:font w:name="Noto Sans Symbols">
    <w:altName w:val="Calibri"/>
    <w:panose1 w:val="00000000000000000000"/>
    <w:charset w:val="00"/>
    <w:family w:val="auto"/>
    <w:pitch w:val="default"/>
    <w:sig w:usb0="00000000" w:usb1="00000000" w:usb2="00000000" w:usb3="00000000" w:csb0="00000000" w:csb1="00000000"/>
  </w:font>
  <w:font w:name="Segoe UI">
    <w:panose1 w:val="020B0502040204020203"/>
    <w:charset w:val="00"/>
    <w:family w:val="swiss"/>
    <w:pitch w:val="default"/>
    <w:sig w:usb0="E4002EFF" w:usb1="C000E47F" w:usb2="00000009" w:usb3="00000000" w:csb0="200001FF" w:csb1="00000000"/>
  </w:font>
  <w:font w:name="Segoe UI Variable Display">
    <w:panose1 w:val="00000000000000000000"/>
    <w:charset w:val="00"/>
    <w:family w:val="auto"/>
    <w:pitch w:val="default"/>
    <w:sig w:usb0="A00002FF" w:usb1="0000000B" w:usb2="00000000" w:usb3="00000000" w:csb0="2000019F" w:csb1="00000000"/>
  </w:font>
  <w:font w:name="Segoe Print">
    <w:panose1 w:val="02000600000000000000"/>
    <w:charset w:val="00"/>
    <w:family w:val="auto"/>
    <w:pitch w:val="default"/>
    <w:sig w:usb0="0000028F" w:usb1="00000000" w:usb2="00000000" w:usb3="00000000" w:csb0="2000009F" w:csb1="4701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125538068"/>
      <w:docPartObj>
        <w:docPartGallery w:val="AutoText"/>
      </w:docPartObj>
    </w:sdtPr>
    <w:sdtContent>
      <w:p w14:paraId="4915544D">
        <w:pPr>
          <w:pStyle w:val="19"/>
          <w:jc w:val="right"/>
        </w:pPr>
        <w:r>
          <w:fldChar w:fldCharType="begin"/>
        </w:r>
        <w:r>
          <w:instrText xml:space="preserve"> PAGE   \* MERGEFORMAT </w:instrText>
        </w:r>
        <w:r>
          <w:fldChar w:fldCharType="separate"/>
        </w:r>
        <w:r>
          <w:t>2</w:t>
        </w:r>
        <w:r>
          <w:fldChar w:fldCharType="end"/>
        </w:r>
      </w:p>
    </w:sdtContent>
  </w:sdt>
  <w:p w14:paraId="564D77FA">
    <w:pPr>
      <w:pStyle w:val="1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6">
    <w:p>
      <w:pPr>
        <w:spacing w:before="0" w:after="0" w:line="278" w:lineRule="auto"/>
      </w:pPr>
      <w:r>
        <w:separator/>
      </w:r>
    </w:p>
  </w:footnote>
  <w:footnote w:type="continuationSeparator" w:id="7">
    <w:p>
      <w:pPr>
        <w:spacing w:before="0" w:after="0" w:line="278" w:lineRule="auto"/>
      </w:pPr>
      <w:r>
        <w:continuationSeparator/>
      </w:r>
    </w:p>
  </w:footnote>
  <w:footnote w:id="0">
    <w:p w14:paraId="1BA76516">
      <w:pPr>
        <w:spacing w:line="240" w:lineRule="auto"/>
        <w:jc w:val="both"/>
        <w:rPr>
          <w:sz w:val="20"/>
          <w:szCs w:val="20"/>
        </w:rPr>
      </w:pPr>
      <w:r>
        <w:rPr>
          <w:rStyle w:val="20"/>
          <w:sz w:val="20"/>
          <w:szCs w:val="20"/>
        </w:rPr>
        <w:footnoteRef/>
      </w:r>
      <w:r>
        <w:rPr>
          <w:sz w:val="20"/>
          <w:szCs w:val="20"/>
        </w:rPr>
        <w:t xml:space="preserve"> Statistical Office of the Republic of Serbia and UNICEF. (2019). </w:t>
      </w:r>
      <w:r>
        <w:rPr>
          <w:i/>
          <w:iCs/>
          <w:sz w:val="20"/>
          <w:szCs w:val="20"/>
        </w:rPr>
        <w:t>Serbia Multiple Indicator Cluster Survey and Serbia Roma Settlements Multiple Indicator Cluster Survey, 2019, Survey Findings Report</w:t>
      </w:r>
      <w:r>
        <w:rPr>
          <w:sz w:val="20"/>
          <w:szCs w:val="20"/>
        </w:rPr>
        <w:t>. Belgrade, Serbia: Statistical Office of the Republic of Serbia and UNICEF.</w:t>
      </w:r>
    </w:p>
  </w:footnote>
  <w:footnote w:id="1">
    <w:p w14:paraId="1E6D5E18">
      <w:pPr>
        <w:spacing w:line="240" w:lineRule="auto"/>
        <w:jc w:val="both"/>
        <w:rPr>
          <w:sz w:val="20"/>
          <w:szCs w:val="20"/>
        </w:rPr>
      </w:pPr>
      <w:r>
        <w:rPr>
          <w:rStyle w:val="20"/>
          <w:sz w:val="20"/>
          <w:szCs w:val="20"/>
        </w:rPr>
        <w:footnoteRef/>
      </w:r>
      <w:r>
        <w:rPr>
          <w:sz w:val="20"/>
          <w:szCs w:val="20"/>
        </w:rPr>
        <w:t xml:space="preserve"> Romska ženska mreža Srbije. (2022). </w:t>
      </w:r>
      <w:r>
        <w:rPr>
          <w:i/>
          <w:iCs/>
          <w:sz w:val="20"/>
          <w:szCs w:val="20"/>
        </w:rPr>
        <w:t>Rezultati istraživanja o rasprostranjenosti dečijih brakova u Srbiji</w:t>
      </w:r>
      <w:r>
        <w:rPr>
          <w:sz w:val="20"/>
          <w:szCs w:val="20"/>
        </w:rPr>
        <w:t xml:space="preserve">. Beograd: AKT. </w:t>
      </w:r>
    </w:p>
    <w:p w14:paraId="2D493ADD">
      <w:pPr>
        <w:pStyle w:val="21"/>
      </w:pPr>
    </w:p>
  </w:footnote>
  <w:footnote w:id="2">
    <w:p w14:paraId="7AD5E0AE">
      <w:pPr>
        <w:pStyle w:val="21"/>
        <w:rPr>
          <w:lang w:val="en-US"/>
        </w:rPr>
      </w:pPr>
      <w:r>
        <w:rPr>
          <w:rStyle w:val="20"/>
        </w:rPr>
        <w:footnoteRef/>
      </w:r>
      <w:r>
        <w:t xml:space="preserve">  Statistical Office of the Republic of Serbia and UNICEF, 2019</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7F41EE"/>
    <w:multiLevelType w:val="multilevel"/>
    <w:tmpl w:val="007F41EE"/>
    <w:lvl w:ilvl="0" w:tentative="0">
      <w:start w:val="1"/>
      <w:numFmt w:val="bullet"/>
      <w:lvlText w:val=""/>
      <w:lvlJc w:val="left"/>
      <w:pPr>
        <w:ind w:left="720" w:hanging="360"/>
      </w:pPr>
      <w:rPr>
        <w:rFonts w:hint="default" w:ascii="Symbol" w:hAnsi="Symbol"/>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1">
    <w:nsid w:val="068C4B4D"/>
    <w:multiLevelType w:val="multilevel"/>
    <w:tmpl w:val="068C4B4D"/>
    <w:lvl w:ilvl="0" w:tentative="0">
      <w:start w:val="1"/>
      <w:numFmt w:val="bullet"/>
      <w:lvlText w:val=""/>
      <w:lvlJc w:val="left"/>
      <w:pPr>
        <w:tabs>
          <w:tab w:val="left" w:pos="720"/>
        </w:tabs>
        <w:ind w:left="720" w:hanging="360"/>
      </w:pPr>
      <w:rPr>
        <w:rFonts w:hint="default" w:ascii="Symbol" w:hAnsi="Symbol"/>
        <w:sz w:val="20"/>
      </w:rPr>
    </w:lvl>
    <w:lvl w:ilvl="1" w:tentative="0">
      <w:start w:val="1"/>
      <w:numFmt w:val="bullet"/>
      <w:lvlText w:val=""/>
      <w:lvlJc w:val="left"/>
      <w:pPr>
        <w:tabs>
          <w:tab w:val="left" w:pos="1440"/>
        </w:tabs>
        <w:ind w:left="1440" w:hanging="360"/>
      </w:pPr>
      <w:rPr>
        <w:rFonts w:hint="default" w:ascii="Symbol" w:hAnsi="Symbol"/>
        <w:sz w:val="20"/>
      </w:rPr>
    </w:lvl>
    <w:lvl w:ilvl="2" w:tentative="0">
      <w:start w:val="1"/>
      <w:numFmt w:val="bullet"/>
      <w:lvlText w:val=""/>
      <w:lvlJc w:val="left"/>
      <w:pPr>
        <w:tabs>
          <w:tab w:val="left" w:pos="2160"/>
        </w:tabs>
        <w:ind w:left="2160" w:hanging="360"/>
      </w:pPr>
      <w:rPr>
        <w:rFonts w:hint="default" w:ascii="Symbol" w:hAnsi="Symbol"/>
        <w:sz w:val="20"/>
      </w:rPr>
    </w:lvl>
    <w:lvl w:ilvl="3" w:tentative="0">
      <w:start w:val="1"/>
      <w:numFmt w:val="bullet"/>
      <w:lvlText w:val=""/>
      <w:lvlJc w:val="left"/>
      <w:pPr>
        <w:tabs>
          <w:tab w:val="left" w:pos="2880"/>
        </w:tabs>
        <w:ind w:left="2880" w:hanging="360"/>
      </w:pPr>
      <w:rPr>
        <w:rFonts w:hint="default" w:ascii="Symbol" w:hAnsi="Symbol"/>
        <w:sz w:val="20"/>
      </w:rPr>
    </w:lvl>
    <w:lvl w:ilvl="4" w:tentative="0">
      <w:start w:val="1"/>
      <w:numFmt w:val="bullet"/>
      <w:lvlText w:val=""/>
      <w:lvlJc w:val="left"/>
      <w:pPr>
        <w:tabs>
          <w:tab w:val="left" w:pos="3600"/>
        </w:tabs>
        <w:ind w:left="3600" w:hanging="360"/>
      </w:pPr>
      <w:rPr>
        <w:rFonts w:hint="default" w:ascii="Symbol" w:hAnsi="Symbol"/>
        <w:sz w:val="20"/>
      </w:rPr>
    </w:lvl>
    <w:lvl w:ilvl="5" w:tentative="0">
      <w:start w:val="1"/>
      <w:numFmt w:val="bullet"/>
      <w:lvlText w:val=""/>
      <w:lvlJc w:val="left"/>
      <w:pPr>
        <w:tabs>
          <w:tab w:val="left" w:pos="4320"/>
        </w:tabs>
        <w:ind w:left="4320" w:hanging="360"/>
      </w:pPr>
      <w:rPr>
        <w:rFonts w:hint="default" w:ascii="Symbol" w:hAnsi="Symbol"/>
        <w:sz w:val="20"/>
      </w:rPr>
    </w:lvl>
    <w:lvl w:ilvl="6" w:tentative="0">
      <w:start w:val="1"/>
      <w:numFmt w:val="bullet"/>
      <w:lvlText w:val=""/>
      <w:lvlJc w:val="left"/>
      <w:pPr>
        <w:tabs>
          <w:tab w:val="left" w:pos="5040"/>
        </w:tabs>
        <w:ind w:left="5040" w:hanging="360"/>
      </w:pPr>
      <w:rPr>
        <w:rFonts w:hint="default" w:ascii="Symbol" w:hAnsi="Symbol"/>
        <w:sz w:val="20"/>
      </w:rPr>
    </w:lvl>
    <w:lvl w:ilvl="7" w:tentative="0">
      <w:start w:val="1"/>
      <w:numFmt w:val="bullet"/>
      <w:lvlText w:val=""/>
      <w:lvlJc w:val="left"/>
      <w:pPr>
        <w:tabs>
          <w:tab w:val="left" w:pos="5760"/>
        </w:tabs>
        <w:ind w:left="5760" w:hanging="360"/>
      </w:pPr>
      <w:rPr>
        <w:rFonts w:hint="default" w:ascii="Symbol" w:hAnsi="Symbol"/>
        <w:sz w:val="20"/>
      </w:rPr>
    </w:lvl>
    <w:lvl w:ilvl="8" w:tentative="0">
      <w:start w:val="1"/>
      <w:numFmt w:val="bullet"/>
      <w:lvlText w:val=""/>
      <w:lvlJc w:val="left"/>
      <w:pPr>
        <w:tabs>
          <w:tab w:val="left" w:pos="6480"/>
        </w:tabs>
        <w:ind w:left="6480" w:hanging="360"/>
      </w:pPr>
      <w:rPr>
        <w:rFonts w:hint="default" w:ascii="Symbol" w:hAnsi="Symbol"/>
        <w:sz w:val="20"/>
      </w:rPr>
    </w:lvl>
  </w:abstractNum>
  <w:abstractNum w:abstractNumId="2">
    <w:nsid w:val="0DF52E52"/>
    <w:multiLevelType w:val="multilevel"/>
    <w:tmpl w:val="0DF52E52"/>
    <w:lvl w:ilvl="0" w:tentative="0">
      <w:start w:val="1"/>
      <w:numFmt w:val="bullet"/>
      <w:lvlText w:val="●"/>
      <w:lvlJc w:val="left"/>
      <w:pPr>
        <w:ind w:left="720" w:hanging="360"/>
      </w:pPr>
      <w:rPr>
        <w:rFonts w:ascii="Noto Sans Symbols" w:hAnsi="Noto Sans Symbols" w:eastAsia="Noto Sans Symbols" w:cs="Noto Sans Symbols"/>
      </w:rPr>
    </w:lvl>
    <w:lvl w:ilvl="1" w:tentative="0">
      <w:start w:val="1"/>
      <w:numFmt w:val="bullet"/>
      <w:lvlText w:val="o"/>
      <w:lvlJc w:val="left"/>
      <w:pPr>
        <w:ind w:left="1440" w:hanging="360"/>
      </w:pPr>
      <w:rPr>
        <w:rFonts w:ascii="Courier New" w:hAnsi="Courier New" w:eastAsia="Courier New" w:cs="Courier New"/>
      </w:rPr>
    </w:lvl>
    <w:lvl w:ilvl="2" w:tentative="0">
      <w:start w:val="1"/>
      <w:numFmt w:val="bullet"/>
      <w:lvlText w:val="▪"/>
      <w:lvlJc w:val="left"/>
      <w:pPr>
        <w:ind w:left="2160" w:hanging="360"/>
      </w:pPr>
      <w:rPr>
        <w:rFonts w:ascii="Noto Sans Symbols" w:hAnsi="Noto Sans Symbols" w:eastAsia="Noto Sans Symbols" w:cs="Noto Sans Symbols"/>
      </w:rPr>
    </w:lvl>
    <w:lvl w:ilvl="3" w:tentative="0">
      <w:start w:val="1"/>
      <w:numFmt w:val="bullet"/>
      <w:lvlText w:val="●"/>
      <w:lvlJc w:val="left"/>
      <w:pPr>
        <w:ind w:left="2880" w:hanging="360"/>
      </w:pPr>
      <w:rPr>
        <w:rFonts w:ascii="Noto Sans Symbols" w:hAnsi="Noto Sans Symbols" w:eastAsia="Noto Sans Symbols" w:cs="Noto Sans Symbols"/>
      </w:rPr>
    </w:lvl>
    <w:lvl w:ilvl="4" w:tentative="0">
      <w:start w:val="1"/>
      <w:numFmt w:val="bullet"/>
      <w:lvlText w:val="o"/>
      <w:lvlJc w:val="left"/>
      <w:pPr>
        <w:ind w:left="3600" w:hanging="360"/>
      </w:pPr>
      <w:rPr>
        <w:rFonts w:ascii="Courier New" w:hAnsi="Courier New" w:eastAsia="Courier New" w:cs="Courier New"/>
      </w:rPr>
    </w:lvl>
    <w:lvl w:ilvl="5" w:tentative="0">
      <w:start w:val="1"/>
      <w:numFmt w:val="bullet"/>
      <w:lvlText w:val="▪"/>
      <w:lvlJc w:val="left"/>
      <w:pPr>
        <w:ind w:left="4320" w:hanging="360"/>
      </w:pPr>
      <w:rPr>
        <w:rFonts w:ascii="Noto Sans Symbols" w:hAnsi="Noto Sans Symbols" w:eastAsia="Noto Sans Symbols" w:cs="Noto Sans Symbols"/>
      </w:rPr>
    </w:lvl>
    <w:lvl w:ilvl="6" w:tentative="0">
      <w:start w:val="1"/>
      <w:numFmt w:val="bullet"/>
      <w:lvlText w:val="●"/>
      <w:lvlJc w:val="left"/>
      <w:pPr>
        <w:ind w:left="5040" w:hanging="360"/>
      </w:pPr>
      <w:rPr>
        <w:rFonts w:ascii="Noto Sans Symbols" w:hAnsi="Noto Sans Symbols" w:eastAsia="Noto Sans Symbols" w:cs="Noto Sans Symbols"/>
      </w:rPr>
    </w:lvl>
    <w:lvl w:ilvl="7" w:tentative="0">
      <w:start w:val="1"/>
      <w:numFmt w:val="bullet"/>
      <w:lvlText w:val="o"/>
      <w:lvlJc w:val="left"/>
      <w:pPr>
        <w:ind w:left="5760" w:hanging="360"/>
      </w:pPr>
      <w:rPr>
        <w:rFonts w:ascii="Courier New" w:hAnsi="Courier New" w:eastAsia="Courier New" w:cs="Courier New"/>
      </w:rPr>
    </w:lvl>
    <w:lvl w:ilvl="8" w:tentative="0">
      <w:start w:val="1"/>
      <w:numFmt w:val="bullet"/>
      <w:lvlText w:val="▪"/>
      <w:lvlJc w:val="left"/>
      <w:pPr>
        <w:ind w:left="6480" w:hanging="360"/>
      </w:pPr>
      <w:rPr>
        <w:rFonts w:ascii="Noto Sans Symbols" w:hAnsi="Noto Sans Symbols" w:eastAsia="Noto Sans Symbols" w:cs="Noto Sans Symbols"/>
      </w:rPr>
    </w:lvl>
  </w:abstractNum>
  <w:abstractNum w:abstractNumId="3">
    <w:nsid w:val="10E00B76"/>
    <w:multiLevelType w:val="multilevel"/>
    <w:tmpl w:val="10E00B76"/>
    <w:lvl w:ilvl="0" w:tentative="0">
      <w:start w:val="1"/>
      <w:numFmt w:val="decimal"/>
      <w:lvlText w:val="%1"/>
      <w:lvlJc w:val="left"/>
      <w:pPr>
        <w:ind w:left="432" w:hanging="432"/>
      </w:pPr>
    </w:lvl>
    <w:lvl w:ilvl="1" w:tentative="0">
      <w:start w:val="1"/>
      <w:numFmt w:val="decimal"/>
      <w:lvlText w:val="%1.%2"/>
      <w:lvlJc w:val="left"/>
      <w:pPr>
        <w:ind w:left="576" w:hanging="576"/>
      </w:pPr>
    </w:lvl>
    <w:lvl w:ilvl="2" w:tentative="0">
      <w:start w:val="1"/>
      <w:numFmt w:val="decimal"/>
      <w:lvlText w:val="%1.%2.%3"/>
      <w:lvlJc w:val="left"/>
      <w:pPr>
        <w:ind w:left="720" w:hanging="720"/>
      </w:pPr>
    </w:lvl>
    <w:lvl w:ilvl="3" w:tentative="0">
      <w:start w:val="1"/>
      <w:numFmt w:val="decimal"/>
      <w:lvlText w:val="%1.%2.%3.%4"/>
      <w:lvlJc w:val="left"/>
      <w:pPr>
        <w:ind w:left="864" w:hanging="864"/>
      </w:pPr>
    </w:lvl>
    <w:lvl w:ilvl="4" w:tentative="0">
      <w:start w:val="1"/>
      <w:numFmt w:val="decimal"/>
      <w:lvlText w:val="%1.%2.%3.%4.%5"/>
      <w:lvlJc w:val="left"/>
      <w:pPr>
        <w:ind w:left="1008" w:hanging="1008"/>
      </w:pPr>
    </w:lvl>
    <w:lvl w:ilvl="5" w:tentative="0">
      <w:start w:val="1"/>
      <w:numFmt w:val="decimal"/>
      <w:lvlText w:val="%1.%2.%3.%4.%5.%6"/>
      <w:lvlJc w:val="left"/>
      <w:pPr>
        <w:ind w:left="1152" w:hanging="1152"/>
      </w:pPr>
    </w:lvl>
    <w:lvl w:ilvl="6" w:tentative="0">
      <w:start w:val="1"/>
      <w:numFmt w:val="decimal"/>
      <w:lvlText w:val="%1.%2.%3.%4.%5.%6.%7"/>
      <w:lvlJc w:val="left"/>
      <w:pPr>
        <w:ind w:left="1296" w:hanging="1296"/>
      </w:pPr>
    </w:lvl>
    <w:lvl w:ilvl="7" w:tentative="0">
      <w:start w:val="1"/>
      <w:numFmt w:val="decimal"/>
      <w:lvlText w:val="%1.%2.%3.%4.%5.%6.%7.%8"/>
      <w:lvlJc w:val="left"/>
      <w:pPr>
        <w:ind w:left="1440" w:hanging="1440"/>
      </w:pPr>
    </w:lvl>
    <w:lvl w:ilvl="8" w:tentative="0">
      <w:start w:val="1"/>
      <w:numFmt w:val="decimal"/>
      <w:lvlText w:val="%1.%2.%3.%4.%5.%6.%7.%8.%9"/>
      <w:lvlJc w:val="left"/>
      <w:pPr>
        <w:ind w:left="1584" w:hanging="1584"/>
      </w:pPr>
    </w:lvl>
  </w:abstractNum>
  <w:abstractNum w:abstractNumId="4">
    <w:nsid w:val="16392DCE"/>
    <w:multiLevelType w:val="multilevel"/>
    <w:tmpl w:val="16392DCE"/>
    <w:lvl w:ilvl="0" w:tentative="0">
      <w:start w:val="1"/>
      <w:numFmt w:val="bullet"/>
      <w:lvlText w:val=""/>
      <w:lvlJc w:val="left"/>
      <w:pPr>
        <w:tabs>
          <w:tab w:val="left" w:pos="720"/>
        </w:tabs>
        <w:ind w:left="720" w:hanging="360"/>
      </w:pPr>
      <w:rPr>
        <w:rFonts w:hint="default" w:ascii="Symbol" w:hAnsi="Symbol"/>
        <w:sz w:val="20"/>
      </w:rPr>
    </w:lvl>
    <w:lvl w:ilvl="1" w:tentative="0">
      <w:start w:val="1"/>
      <w:numFmt w:val="bullet"/>
      <w:lvlText w:val="o"/>
      <w:lvlJc w:val="left"/>
      <w:pPr>
        <w:tabs>
          <w:tab w:val="left" w:pos="1440"/>
        </w:tabs>
        <w:ind w:left="1440" w:hanging="360"/>
      </w:pPr>
      <w:rPr>
        <w:rFonts w:hint="default" w:ascii="Courier New" w:hAnsi="Courier New"/>
        <w:sz w:val="20"/>
      </w:rPr>
    </w:lvl>
    <w:lvl w:ilvl="2" w:tentative="0">
      <w:start w:val="1"/>
      <w:numFmt w:val="bullet"/>
      <w:lvlText w:val=""/>
      <w:lvlJc w:val="left"/>
      <w:pPr>
        <w:tabs>
          <w:tab w:val="left" w:pos="2160"/>
        </w:tabs>
        <w:ind w:left="2160" w:hanging="360"/>
      </w:pPr>
      <w:rPr>
        <w:rFonts w:hint="default" w:ascii="Wingdings" w:hAnsi="Wingdings"/>
        <w:sz w:val="20"/>
      </w:rPr>
    </w:lvl>
    <w:lvl w:ilvl="3" w:tentative="0">
      <w:start w:val="1"/>
      <w:numFmt w:val="bullet"/>
      <w:lvlText w:val=""/>
      <w:lvlJc w:val="left"/>
      <w:pPr>
        <w:tabs>
          <w:tab w:val="left" w:pos="2880"/>
        </w:tabs>
        <w:ind w:left="2880" w:hanging="360"/>
      </w:pPr>
      <w:rPr>
        <w:rFonts w:hint="default" w:ascii="Wingdings" w:hAnsi="Wingdings"/>
        <w:sz w:val="20"/>
      </w:rPr>
    </w:lvl>
    <w:lvl w:ilvl="4" w:tentative="0">
      <w:start w:val="1"/>
      <w:numFmt w:val="bullet"/>
      <w:lvlText w:val=""/>
      <w:lvlJc w:val="left"/>
      <w:pPr>
        <w:tabs>
          <w:tab w:val="left" w:pos="3600"/>
        </w:tabs>
        <w:ind w:left="3600" w:hanging="360"/>
      </w:pPr>
      <w:rPr>
        <w:rFonts w:hint="default" w:ascii="Wingdings" w:hAnsi="Wingdings"/>
        <w:sz w:val="20"/>
      </w:rPr>
    </w:lvl>
    <w:lvl w:ilvl="5" w:tentative="0">
      <w:start w:val="1"/>
      <w:numFmt w:val="bullet"/>
      <w:lvlText w:val=""/>
      <w:lvlJc w:val="left"/>
      <w:pPr>
        <w:tabs>
          <w:tab w:val="left" w:pos="4320"/>
        </w:tabs>
        <w:ind w:left="4320" w:hanging="360"/>
      </w:pPr>
      <w:rPr>
        <w:rFonts w:hint="default" w:ascii="Wingdings" w:hAnsi="Wingdings"/>
        <w:sz w:val="20"/>
      </w:rPr>
    </w:lvl>
    <w:lvl w:ilvl="6" w:tentative="0">
      <w:start w:val="1"/>
      <w:numFmt w:val="bullet"/>
      <w:lvlText w:val=""/>
      <w:lvlJc w:val="left"/>
      <w:pPr>
        <w:tabs>
          <w:tab w:val="left" w:pos="5040"/>
        </w:tabs>
        <w:ind w:left="5040" w:hanging="360"/>
      </w:pPr>
      <w:rPr>
        <w:rFonts w:hint="default" w:ascii="Wingdings" w:hAnsi="Wingdings"/>
        <w:sz w:val="20"/>
      </w:rPr>
    </w:lvl>
    <w:lvl w:ilvl="7" w:tentative="0">
      <w:start w:val="1"/>
      <w:numFmt w:val="bullet"/>
      <w:lvlText w:val=""/>
      <w:lvlJc w:val="left"/>
      <w:pPr>
        <w:tabs>
          <w:tab w:val="left" w:pos="5760"/>
        </w:tabs>
        <w:ind w:left="5760" w:hanging="360"/>
      </w:pPr>
      <w:rPr>
        <w:rFonts w:hint="default" w:ascii="Wingdings" w:hAnsi="Wingdings"/>
        <w:sz w:val="20"/>
      </w:rPr>
    </w:lvl>
    <w:lvl w:ilvl="8" w:tentative="0">
      <w:start w:val="1"/>
      <w:numFmt w:val="bullet"/>
      <w:lvlText w:val=""/>
      <w:lvlJc w:val="left"/>
      <w:pPr>
        <w:tabs>
          <w:tab w:val="left" w:pos="6480"/>
        </w:tabs>
        <w:ind w:left="6480" w:hanging="360"/>
      </w:pPr>
      <w:rPr>
        <w:rFonts w:hint="default" w:ascii="Wingdings" w:hAnsi="Wingdings"/>
        <w:sz w:val="20"/>
      </w:rPr>
    </w:lvl>
  </w:abstractNum>
  <w:abstractNum w:abstractNumId="5">
    <w:nsid w:val="289C20A4"/>
    <w:multiLevelType w:val="multilevel"/>
    <w:tmpl w:val="289C20A4"/>
    <w:lvl w:ilvl="0" w:tentative="0">
      <w:start w:val="1"/>
      <w:numFmt w:val="bullet"/>
      <w:lvlText w:val=""/>
      <w:lvlJc w:val="left"/>
      <w:pPr>
        <w:ind w:left="720" w:hanging="360"/>
      </w:pPr>
      <w:rPr>
        <w:rFonts w:hint="default" w:ascii="Symbol" w:hAnsi="Symbol"/>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6">
    <w:nsid w:val="28CB2B73"/>
    <w:multiLevelType w:val="multilevel"/>
    <w:tmpl w:val="28CB2B73"/>
    <w:lvl w:ilvl="0" w:tentative="0">
      <w:start w:val="1"/>
      <w:numFmt w:val="decimal"/>
      <w:lvlText w:val="%1."/>
      <w:lvlJc w:val="left"/>
      <w:pPr>
        <w:ind w:left="400" w:hanging="400"/>
      </w:pPr>
      <w:rPr>
        <w:rFonts w:hint="default"/>
      </w:rPr>
    </w:lvl>
    <w:lvl w:ilvl="1" w:tentative="0">
      <w:start w:val="1"/>
      <w:numFmt w:val="decimal"/>
      <w:lvlText w:val="%1.%2."/>
      <w:lvlJc w:val="left"/>
      <w:pPr>
        <w:ind w:left="720" w:hanging="720"/>
      </w:pPr>
      <w:rPr>
        <w:rFonts w:hint="default"/>
      </w:rPr>
    </w:lvl>
    <w:lvl w:ilvl="2" w:tentative="0">
      <w:start w:val="1"/>
      <w:numFmt w:val="decimal"/>
      <w:lvlText w:val="%1.%2.%3."/>
      <w:lvlJc w:val="left"/>
      <w:pPr>
        <w:ind w:left="720" w:hanging="720"/>
      </w:pPr>
      <w:rPr>
        <w:rFonts w:hint="default"/>
      </w:rPr>
    </w:lvl>
    <w:lvl w:ilvl="3" w:tentative="0">
      <w:start w:val="1"/>
      <w:numFmt w:val="decimal"/>
      <w:lvlText w:val="%1.%2.%3.%4."/>
      <w:lvlJc w:val="left"/>
      <w:pPr>
        <w:ind w:left="1080" w:hanging="1080"/>
      </w:pPr>
      <w:rPr>
        <w:rFonts w:hint="default"/>
      </w:rPr>
    </w:lvl>
    <w:lvl w:ilvl="4" w:tentative="0">
      <w:start w:val="1"/>
      <w:numFmt w:val="decimal"/>
      <w:lvlText w:val="%1.%2.%3.%4.%5."/>
      <w:lvlJc w:val="left"/>
      <w:pPr>
        <w:ind w:left="1080" w:hanging="1080"/>
      </w:pPr>
      <w:rPr>
        <w:rFonts w:hint="default"/>
      </w:rPr>
    </w:lvl>
    <w:lvl w:ilvl="5" w:tentative="0">
      <w:start w:val="1"/>
      <w:numFmt w:val="decimal"/>
      <w:lvlText w:val="%1.%2.%3.%4.%5.%6."/>
      <w:lvlJc w:val="left"/>
      <w:pPr>
        <w:ind w:left="1440" w:hanging="1440"/>
      </w:pPr>
      <w:rPr>
        <w:rFonts w:hint="default"/>
      </w:rPr>
    </w:lvl>
    <w:lvl w:ilvl="6" w:tentative="0">
      <w:start w:val="1"/>
      <w:numFmt w:val="decimal"/>
      <w:lvlText w:val="%1.%2.%3.%4.%5.%6.%7."/>
      <w:lvlJc w:val="left"/>
      <w:pPr>
        <w:ind w:left="1440" w:hanging="1440"/>
      </w:pPr>
      <w:rPr>
        <w:rFonts w:hint="default"/>
      </w:rPr>
    </w:lvl>
    <w:lvl w:ilvl="7" w:tentative="0">
      <w:start w:val="1"/>
      <w:numFmt w:val="decimal"/>
      <w:lvlText w:val="%1.%2.%3.%4.%5.%6.%7.%8."/>
      <w:lvlJc w:val="left"/>
      <w:pPr>
        <w:ind w:left="1800" w:hanging="1800"/>
      </w:pPr>
      <w:rPr>
        <w:rFonts w:hint="default"/>
      </w:rPr>
    </w:lvl>
    <w:lvl w:ilvl="8" w:tentative="0">
      <w:start w:val="1"/>
      <w:numFmt w:val="decimal"/>
      <w:lvlText w:val="%1.%2.%3.%4.%5.%6.%7.%8.%9."/>
      <w:lvlJc w:val="left"/>
      <w:pPr>
        <w:ind w:left="2160" w:hanging="2160"/>
      </w:pPr>
      <w:rPr>
        <w:rFonts w:hint="default"/>
      </w:rPr>
    </w:lvl>
  </w:abstractNum>
  <w:abstractNum w:abstractNumId="7">
    <w:nsid w:val="2A6B0729"/>
    <w:multiLevelType w:val="multilevel"/>
    <w:tmpl w:val="2A6B0729"/>
    <w:lvl w:ilvl="0" w:tentative="0">
      <w:start w:val="1"/>
      <w:numFmt w:val="bullet"/>
      <w:lvlText w:val=""/>
      <w:lvlJc w:val="left"/>
      <w:pPr>
        <w:ind w:left="720" w:hanging="360"/>
      </w:pPr>
      <w:rPr>
        <w:rFonts w:hint="default" w:ascii="Symbol" w:hAnsi="Symbol"/>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8">
    <w:nsid w:val="360407BB"/>
    <w:multiLevelType w:val="multilevel"/>
    <w:tmpl w:val="360407BB"/>
    <w:lvl w:ilvl="0" w:tentative="0">
      <w:start w:val="1"/>
      <w:numFmt w:val="bullet"/>
      <w:lvlText w:val=""/>
      <w:lvlJc w:val="left"/>
      <w:pPr>
        <w:ind w:left="720" w:hanging="360"/>
      </w:pPr>
      <w:rPr>
        <w:rFonts w:hint="default" w:ascii="Symbol" w:hAnsi="Symbol"/>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9">
    <w:nsid w:val="40B638F0"/>
    <w:multiLevelType w:val="multilevel"/>
    <w:tmpl w:val="40B638F0"/>
    <w:lvl w:ilvl="0" w:tentative="0">
      <w:start w:val="1"/>
      <w:numFmt w:val="bullet"/>
      <w:lvlText w:val=""/>
      <w:lvlJc w:val="left"/>
      <w:pPr>
        <w:tabs>
          <w:tab w:val="left" w:pos="720"/>
        </w:tabs>
        <w:ind w:left="720" w:hanging="360"/>
      </w:pPr>
      <w:rPr>
        <w:rFonts w:hint="default" w:ascii="Symbol" w:hAnsi="Symbol"/>
        <w:sz w:val="20"/>
      </w:rPr>
    </w:lvl>
    <w:lvl w:ilvl="1" w:tentative="0">
      <w:start w:val="1"/>
      <w:numFmt w:val="bullet"/>
      <w:lvlText w:val=""/>
      <w:lvlJc w:val="left"/>
      <w:pPr>
        <w:tabs>
          <w:tab w:val="left" w:pos="1440"/>
        </w:tabs>
        <w:ind w:left="1440" w:hanging="360"/>
      </w:pPr>
      <w:rPr>
        <w:rFonts w:hint="default" w:ascii="Symbol" w:hAnsi="Symbol"/>
        <w:sz w:val="20"/>
      </w:rPr>
    </w:lvl>
    <w:lvl w:ilvl="2" w:tentative="0">
      <w:start w:val="1"/>
      <w:numFmt w:val="bullet"/>
      <w:lvlText w:val=""/>
      <w:lvlJc w:val="left"/>
      <w:pPr>
        <w:tabs>
          <w:tab w:val="left" w:pos="2160"/>
        </w:tabs>
        <w:ind w:left="2160" w:hanging="360"/>
      </w:pPr>
      <w:rPr>
        <w:rFonts w:hint="default" w:ascii="Symbol" w:hAnsi="Symbol"/>
        <w:sz w:val="20"/>
      </w:rPr>
    </w:lvl>
    <w:lvl w:ilvl="3" w:tentative="0">
      <w:start w:val="1"/>
      <w:numFmt w:val="bullet"/>
      <w:lvlText w:val=""/>
      <w:lvlJc w:val="left"/>
      <w:pPr>
        <w:tabs>
          <w:tab w:val="left" w:pos="2880"/>
        </w:tabs>
        <w:ind w:left="2880" w:hanging="360"/>
      </w:pPr>
      <w:rPr>
        <w:rFonts w:hint="default" w:ascii="Symbol" w:hAnsi="Symbol"/>
        <w:sz w:val="20"/>
      </w:rPr>
    </w:lvl>
    <w:lvl w:ilvl="4" w:tentative="0">
      <w:start w:val="1"/>
      <w:numFmt w:val="bullet"/>
      <w:lvlText w:val=""/>
      <w:lvlJc w:val="left"/>
      <w:pPr>
        <w:tabs>
          <w:tab w:val="left" w:pos="3600"/>
        </w:tabs>
        <w:ind w:left="3600" w:hanging="360"/>
      </w:pPr>
      <w:rPr>
        <w:rFonts w:hint="default" w:ascii="Symbol" w:hAnsi="Symbol"/>
        <w:sz w:val="20"/>
      </w:rPr>
    </w:lvl>
    <w:lvl w:ilvl="5" w:tentative="0">
      <w:start w:val="1"/>
      <w:numFmt w:val="bullet"/>
      <w:lvlText w:val=""/>
      <w:lvlJc w:val="left"/>
      <w:pPr>
        <w:tabs>
          <w:tab w:val="left" w:pos="4320"/>
        </w:tabs>
        <w:ind w:left="4320" w:hanging="360"/>
      </w:pPr>
      <w:rPr>
        <w:rFonts w:hint="default" w:ascii="Symbol" w:hAnsi="Symbol"/>
        <w:sz w:val="20"/>
      </w:rPr>
    </w:lvl>
    <w:lvl w:ilvl="6" w:tentative="0">
      <w:start w:val="1"/>
      <w:numFmt w:val="bullet"/>
      <w:lvlText w:val=""/>
      <w:lvlJc w:val="left"/>
      <w:pPr>
        <w:tabs>
          <w:tab w:val="left" w:pos="5040"/>
        </w:tabs>
        <w:ind w:left="5040" w:hanging="360"/>
      </w:pPr>
      <w:rPr>
        <w:rFonts w:hint="default" w:ascii="Symbol" w:hAnsi="Symbol"/>
        <w:sz w:val="20"/>
      </w:rPr>
    </w:lvl>
    <w:lvl w:ilvl="7" w:tentative="0">
      <w:start w:val="1"/>
      <w:numFmt w:val="bullet"/>
      <w:lvlText w:val=""/>
      <w:lvlJc w:val="left"/>
      <w:pPr>
        <w:tabs>
          <w:tab w:val="left" w:pos="5760"/>
        </w:tabs>
        <w:ind w:left="5760" w:hanging="360"/>
      </w:pPr>
      <w:rPr>
        <w:rFonts w:hint="default" w:ascii="Symbol" w:hAnsi="Symbol"/>
        <w:sz w:val="20"/>
      </w:rPr>
    </w:lvl>
    <w:lvl w:ilvl="8" w:tentative="0">
      <w:start w:val="1"/>
      <w:numFmt w:val="bullet"/>
      <w:lvlText w:val=""/>
      <w:lvlJc w:val="left"/>
      <w:pPr>
        <w:tabs>
          <w:tab w:val="left" w:pos="6480"/>
        </w:tabs>
        <w:ind w:left="6480" w:hanging="360"/>
      </w:pPr>
      <w:rPr>
        <w:rFonts w:hint="default" w:ascii="Symbol" w:hAnsi="Symbol"/>
        <w:sz w:val="20"/>
      </w:rPr>
    </w:lvl>
  </w:abstractNum>
  <w:abstractNum w:abstractNumId="10">
    <w:nsid w:val="418125E5"/>
    <w:multiLevelType w:val="multilevel"/>
    <w:tmpl w:val="418125E5"/>
    <w:lvl w:ilvl="0" w:tentative="0">
      <w:start w:val="1"/>
      <w:numFmt w:val="bullet"/>
      <w:lvlText w:val=""/>
      <w:lvlJc w:val="left"/>
      <w:pPr>
        <w:tabs>
          <w:tab w:val="left" w:pos="720"/>
        </w:tabs>
        <w:ind w:left="720" w:hanging="360"/>
      </w:pPr>
      <w:rPr>
        <w:rFonts w:hint="default" w:ascii="Symbol" w:hAnsi="Symbol"/>
        <w:sz w:val="20"/>
      </w:rPr>
    </w:lvl>
    <w:lvl w:ilvl="1" w:tentative="0">
      <w:start w:val="1"/>
      <w:numFmt w:val="bullet"/>
      <w:lvlText w:val=""/>
      <w:lvlJc w:val="left"/>
      <w:pPr>
        <w:tabs>
          <w:tab w:val="left" w:pos="1440"/>
        </w:tabs>
        <w:ind w:left="1440" w:hanging="360"/>
      </w:pPr>
      <w:rPr>
        <w:rFonts w:hint="default" w:ascii="Symbol" w:hAnsi="Symbol"/>
        <w:sz w:val="20"/>
      </w:rPr>
    </w:lvl>
    <w:lvl w:ilvl="2" w:tentative="0">
      <w:start w:val="1"/>
      <w:numFmt w:val="bullet"/>
      <w:lvlText w:val=""/>
      <w:lvlJc w:val="left"/>
      <w:pPr>
        <w:tabs>
          <w:tab w:val="left" w:pos="2160"/>
        </w:tabs>
        <w:ind w:left="2160" w:hanging="360"/>
      </w:pPr>
      <w:rPr>
        <w:rFonts w:hint="default" w:ascii="Symbol" w:hAnsi="Symbol"/>
        <w:sz w:val="20"/>
      </w:rPr>
    </w:lvl>
    <w:lvl w:ilvl="3" w:tentative="0">
      <w:start w:val="1"/>
      <w:numFmt w:val="bullet"/>
      <w:lvlText w:val=""/>
      <w:lvlJc w:val="left"/>
      <w:pPr>
        <w:tabs>
          <w:tab w:val="left" w:pos="2880"/>
        </w:tabs>
        <w:ind w:left="2880" w:hanging="360"/>
      </w:pPr>
      <w:rPr>
        <w:rFonts w:hint="default" w:ascii="Symbol" w:hAnsi="Symbol"/>
        <w:sz w:val="20"/>
      </w:rPr>
    </w:lvl>
    <w:lvl w:ilvl="4" w:tentative="0">
      <w:start w:val="1"/>
      <w:numFmt w:val="bullet"/>
      <w:lvlText w:val=""/>
      <w:lvlJc w:val="left"/>
      <w:pPr>
        <w:tabs>
          <w:tab w:val="left" w:pos="3600"/>
        </w:tabs>
        <w:ind w:left="3600" w:hanging="360"/>
      </w:pPr>
      <w:rPr>
        <w:rFonts w:hint="default" w:ascii="Symbol" w:hAnsi="Symbol"/>
        <w:sz w:val="20"/>
      </w:rPr>
    </w:lvl>
    <w:lvl w:ilvl="5" w:tentative="0">
      <w:start w:val="1"/>
      <w:numFmt w:val="bullet"/>
      <w:lvlText w:val=""/>
      <w:lvlJc w:val="left"/>
      <w:pPr>
        <w:tabs>
          <w:tab w:val="left" w:pos="4320"/>
        </w:tabs>
        <w:ind w:left="4320" w:hanging="360"/>
      </w:pPr>
      <w:rPr>
        <w:rFonts w:hint="default" w:ascii="Symbol" w:hAnsi="Symbol"/>
        <w:sz w:val="20"/>
      </w:rPr>
    </w:lvl>
    <w:lvl w:ilvl="6" w:tentative="0">
      <w:start w:val="1"/>
      <w:numFmt w:val="bullet"/>
      <w:lvlText w:val=""/>
      <w:lvlJc w:val="left"/>
      <w:pPr>
        <w:tabs>
          <w:tab w:val="left" w:pos="5040"/>
        </w:tabs>
        <w:ind w:left="5040" w:hanging="360"/>
      </w:pPr>
      <w:rPr>
        <w:rFonts w:hint="default" w:ascii="Symbol" w:hAnsi="Symbol"/>
        <w:sz w:val="20"/>
      </w:rPr>
    </w:lvl>
    <w:lvl w:ilvl="7" w:tentative="0">
      <w:start w:val="1"/>
      <w:numFmt w:val="bullet"/>
      <w:lvlText w:val=""/>
      <w:lvlJc w:val="left"/>
      <w:pPr>
        <w:tabs>
          <w:tab w:val="left" w:pos="5760"/>
        </w:tabs>
        <w:ind w:left="5760" w:hanging="360"/>
      </w:pPr>
      <w:rPr>
        <w:rFonts w:hint="default" w:ascii="Symbol" w:hAnsi="Symbol"/>
        <w:sz w:val="20"/>
      </w:rPr>
    </w:lvl>
    <w:lvl w:ilvl="8" w:tentative="0">
      <w:start w:val="1"/>
      <w:numFmt w:val="bullet"/>
      <w:lvlText w:val=""/>
      <w:lvlJc w:val="left"/>
      <w:pPr>
        <w:tabs>
          <w:tab w:val="left" w:pos="6480"/>
        </w:tabs>
        <w:ind w:left="6480" w:hanging="360"/>
      </w:pPr>
      <w:rPr>
        <w:rFonts w:hint="default" w:ascii="Symbol" w:hAnsi="Symbol"/>
        <w:sz w:val="20"/>
      </w:rPr>
    </w:lvl>
  </w:abstractNum>
  <w:abstractNum w:abstractNumId="11">
    <w:nsid w:val="47000EAB"/>
    <w:multiLevelType w:val="multilevel"/>
    <w:tmpl w:val="47000EAB"/>
    <w:lvl w:ilvl="0" w:tentative="0">
      <w:start w:val="1"/>
      <w:numFmt w:val="bullet"/>
      <w:lvlText w:val=""/>
      <w:lvlJc w:val="left"/>
      <w:pPr>
        <w:ind w:left="720" w:hanging="360"/>
      </w:pPr>
      <w:rPr>
        <w:rFonts w:hint="default" w:ascii="Symbol" w:hAnsi="Symbol"/>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12">
    <w:nsid w:val="67404389"/>
    <w:multiLevelType w:val="multilevel"/>
    <w:tmpl w:val="67404389"/>
    <w:lvl w:ilvl="0" w:tentative="0">
      <w:start w:val="1"/>
      <w:numFmt w:val="bullet"/>
      <w:lvlText w:val=""/>
      <w:lvlJc w:val="left"/>
      <w:pPr>
        <w:tabs>
          <w:tab w:val="left" w:pos="720"/>
        </w:tabs>
        <w:ind w:left="720" w:hanging="360"/>
      </w:pPr>
      <w:rPr>
        <w:rFonts w:hint="default" w:ascii="Symbol" w:hAnsi="Symbol"/>
        <w:sz w:val="20"/>
      </w:rPr>
    </w:lvl>
    <w:lvl w:ilvl="1" w:tentative="0">
      <w:start w:val="1"/>
      <w:numFmt w:val="bullet"/>
      <w:lvlText w:val="o"/>
      <w:lvlJc w:val="left"/>
      <w:pPr>
        <w:tabs>
          <w:tab w:val="left" w:pos="1440"/>
        </w:tabs>
        <w:ind w:left="1440" w:hanging="360"/>
      </w:pPr>
      <w:rPr>
        <w:rFonts w:hint="default" w:ascii="Courier New" w:hAnsi="Courier New"/>
        <w:sz w:val="20"/>
      </w:rPr>
    </w:lvl>
    <w:lvl w:ilvl="2" w:tentative="0">
      <w:start w:val="1"/>
      <w:numFmt w:val="bullet"/>
      <w:lvlText w:val=""/>
      <w:lvlJc w:val="left"/>
      <w:pPr>
        <w:tabs>
          <w:tab w:val="left" w:pos="2160"/>
        </w:tabs>
        <w:ind w:left="2160" w:hanging="360"/>
      </w:pPr>
      <w:rPr>
        <w:rFonts w:hint="default" w:ascii="Wingdings" w:hAnsi="Wingdings"/>
        <w:sz w:val="20"/>
      </w:rPr>
    </w:lvl>
    <w:lvl w:ilvl="3" w:tentative="0">
      <w:start w:val="1"/>
      <w:numFmt w:val="bullet"/>
      <w:lvlText w:val=""/>
      <w:lvlJc w:val="left"/>
      <w:pPr>
        <w:tabs>
          <w:tab w:val="left" w:pos="2880"/>
        </w:tabs>
        <w:ind w:left="2880" w:hanging="360"/>
      </w:pPr>
      <w:rPr>
        <w:rFonts w:hint="default" w:ascii="Wingdings" w:hAnsi="Wingdings"/>
        <w:sz w:val="20"/>
      </w:rPr>
    </w:lvl>
    <w:lvl w:ilvl="4" w:tentative="0">
      <w:start w:val="1"/>
      <w:numFmt w:val="bullet"/>
      <w:lvlText w:val=""/>
      <w:lvlJc w:val="left"/>
      <w:pPr>
        <w:tabs>
          <w:tab w:val="left" w:pos="3600"/>
        </w:tabs>
        <w:ind w:left="3600" w:hanging="360"/>
      </w:pPr>
      <w:rPr>
        <w:rFonts w:hint="default" w:ascii="Wingdings" w:hAnsi="Wingdings"/>
        <w:sz w:val="20"/>
      </w:rPr>
    </w:lvl>
    <w:lvl w:ilvl="5" w:tentative="0">
      <w:start w:val="1"/>
      <w:numFmt w:val="bullet"/>
      <w:lvlText w:val=""/>
      <w:lvlJc w:val="left"/>
      <w:pPr>
        <w:tabs>
          <w:tab w:val="left" w:pos="4320"/>
        </w:tabs>
        <w:ind w:left="4320" w:hanging="360"/>
      </w:pPr>
      <w:rPr>
        <w:rFonts w:hint="default" w:ascii="Wingdings" w:hAnsi="Wingdings"/>
        <w:sz w:val="20"/>
      </w:rPr>
    </w:lvl>
    <w:lvl w:ilvl="6" w:tentative="0">
      <w:start w:val="1"/>
      <w:numFmt w:val="bullet"/>
      <w:lvlText w:val=""/>
      <w:lvlJc w:val="left"/>
      <w:pPr>
        <w:tabs>
          <w:tab w:val="left" w:pos="5040"/>
        </w:tabs>
        <w:ind w:left="5040" w:hanging="360"/>
      </w:pPr>
      <w:rPr>
        <w:rFonts w:hint="default" w:ascii="Wingdings" w:hAnsi="Wingdings"/>
        <w:sz w:val="20"/>
      </w:rPr>
    </w:lvl>
    <w:lvl w:ilvl="7" w:tentative="0">
      <w:start w:val="1"/>
      <w:numFmt w:val="bullet"/>
      <w:lvlText w:val=""/>
      <w:lvlJc w:val="left"/>
      <w:pPr>
        <w:tabs>
          <w:tab w:val="left" w:pos="5760"/>
        </w:tabs>
        <w:ind w:left="5760" w:hanging="360"/>
      </w:pPr>
      <w:rPr>
        <w:rFonts w:hint="default" w:ascii="Wingdings" w:hAnsi="Wingdings"/>
        <w:sz w:val="20"/>
      </w:rPr>
    </w:lvl>
    <w:lvl w:ilvl="8" w:tentative="0">
      <w:start w:val="1"/>
      <w:numFmt w:val="bullet"/>
      <w:lvlText w:val=""/>
      <w:lvlJc w:val="left"/>
      <w:pPr>
        <w:tabs>
          <w:tab w:val="left" w:pos="6480"/>
        </w:tabs>
        <w:ind w:left="6480" w:hanging="360"/>
      </w:pPr>
      <w:rPr>
        <w:rFonts w:hint="default" w:ascii="Wingdings" w:hAnsi="Wingdings"/>
        <w:sz w:val="20"/>
      </w:rPr>
    </w:lvl>
  </w:abstractNum>
  <w:abstractNum w:abstractNumId="13">
    <w:nsid w:val="6F641549"/>
    <w:multiLevelType w:val="multilevel"/>
    <w:tmpl w:val="6F641549"/>
    <w:lvl w:ilvl="0" w:tentative="0">
      <w:start w:val="1"/>
      <w:numFmt w:val="decimal"/>
      <w:pStyle w:val="2"/>
      <w:lvlText w:val="%1."/>
      <w:lvlJc w:val="left"/>
      <w:pPr>
        <w:ind w:left="720" w:hanging="360"/>
      </w:pPr>
      <w:rPr>
        <w:rFonts w:hint="default"/>
      </w:rPr>
    </w:lvl>
    <w:lvl w:ilvl="1" w:tentative="0">
      <w:start w:val="1"/>
      <w:numFmt w:val="decimal"/>
      <w:pStyle w:val="3"/>
      <w:lvlText w:val="%1.%2."/>
      <w:lvlJc w:val="left"/>
      <w:pPr>
        <w:ind w:left="1440" w:hanging="360"/>
      </w:pPr>
      <w:rPr>
        <w:rFonts w:hint="default"/>
      </w:rPr>
    </w:lvl>
    <w:lvl w:ilvl="2" w:tentative="0">
      <w:start w:val="1"/>
      <w:numFmt w:val="decimal"/>
      <w:lvlRestart w:val="0"/>
      <w:pStyle w:val="4"/>
      <w:lvlText w:val="%3.%1.%2."/>
      <w:lvlJc w:val="left"/>
      <w:pPr>
        <w:ind w:left="2160" w:hanging="360"/>
      </w:pPr>
      <w:rPr>
        <w:rFonts w:hint="default"/>
      </w:rPr>
    </w:lvl>
    <w:lvl w:ilvl="3" w:tentative="0">
      <w:start w:val="1"/>
      <w:numFmt w:val="decimal"/>
      <w:lvlText w:val="%4."/>
      <w:lvlJc w:val="left"/>
      <w:pPr>
        <w:ind w:left="2880" w:hanging="360"/>
      </w:pPr>
      <w:rPr>
        <w:rFonts w:hint="default"/>
      </w:rPr>
    </w:lvl>
    <w:lvl w:ilvl="4" w:tentative="0">
      <w:start w:val="1"/>
      <w:numFmt w:val="lowerLetter"/>
      <w:lvlText w:val="%5."/>
      <w:lvlJc w:val="left"/>
      <w:pPr>
        <w:ind w:left="3600" w:hanging="360"/>
      </w:pPr>
      <w:rPr>
        <w:rFonts w:hint="default"/>
      </w:rPr>
    </w:lvl>
    <w:lvl w:ilvl="5" w:tentative="0">
      <w:start w:val="1"/>
      <w:numFmt w:val="lowerRoman"/>
      <w:lvlText w:val="%6."/>
      <w:lvlJc w:val="right"/>
      <w:pPr>
        <w:ind w:left="4320" w:hanging="360"/>
      </w:pPr>
      <w:rPr>
        <w:rFonts w:hint="default"/>
      </w:rPr>
    </w:lvl>
    <w:lvl w:ilvl="6" w:tentative="0">
      <w:start w:val="1"/>
      <w:numFmt w:val="decimal"/>
      <w:lvlText w:val="%7."/>
      <w:lvlJc w:val="left"/>
      <w:pPr>
        <w:ind w:left="5040" w:hanging="360"/>
      </w:pPr>
      <w:rPr>
        <w:rFonts w:hint="default"/>
      </w:rPr>
    </w:lvl>
    <w:lvl w:ilvl="7" w:tentative="0">
      <w:start w:val="1"/>
      <w:numFmt w:val="lowerLetter"/>
      <w:lvlText w:val="%8."/>
      <w:lvlJc w:val="left"/>
      <w:pPr>
        <w:ind w:left="5760" w:hanging="360"/>
      </w:pPr>
      <w:rPr>
        <w:rFonts w:hint="default"/>
      </w:rPr>
    </w:lvl>
    <w:lvl w:ilvl="8" w:tentative="0">
      <w:start w:val="1"/>
      <w:numFmt w:val="lowerRoman"/>
      <w:lvlText w:val="%9."/>
      <w:lvlJc w:val="right"/>
      <w:pPr>
        <w:ind w:left="6480" w:hanging="360"/>
      </w:pPr>
      <w:rPr>
        <w:rFonts w:hint="default"/>
      </w:rPr>
    </w:lvl>
  </w:abstractNum>
  <w:abstractNum w:abstractNumId="14">
    <w:nsid w:val="77042AB9"/>
    <w:multiLevelType w:val="multilevel"/>
    <w:tmpl w:val="77042AB9"/>
    <w:lvl w:ilvl="0" w:tentative="0">
      <w:start w:val="1"/>
      <w:numFmt w:val="bullet"/>
      <w:lvlText w:val=""/>
      <w:lvlJc w:val="left"/>
      <w:pPr>
        <w:ind w:left="720" w:hanging="360"/>
      </w:pPr>
      <w:rPr>
        <w:rFonts w:hint="default" w:ascii="Symbol" w:hAnsi="Symbol"/>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num w:numId="1">
    <w:abstractNumId w:val="13"/>
  </w:num>
  <w:num w:numId="2">
    <w:abstractNumId w:val="3"/>
  </w:num>
  <w:num w:numId="3">
    <w:abstractNumId w:val="5"/>
  </w:num>
  <w:num w:numId="4">
    <w:abstractNumId w:val="11"/>
  </w:num>
  <w:num w:numId="5">
    <w:abstractNumId w:val="6"/>
  </w:num>
  <w:num w:numId="6">
    <w:abstractNumId w:val="2"/>
  </w:num>
  <w:num w:numId="7">
    <w:abstractNumId w:val="1"/>
  </w:num>
  <w:num w:numId="8">
    <w:abstractNumId w:val="0"/>
  </w:num>
  <w:num w:numId="9">
    <w:abstractNumId w:val="12"/>
  </w:num>
  <w:num w:numId="10">
    <w:abstractNumId w:val="8"/>
  </w:num>
  <w:num w:numId="11">
    <w:abstractNumId w:val="9"/>
  </w:num>
  <w:num w:numId="12">
    <w:abstractNumId w:val="4"/>
  </w:num>
  <w:num w:numId="13">
    <w:abstractNumId w:val="14"/>
  </w:num>
  <w:num w:numId="14">
    <w:abstractNumId w:val="10"/>
  </w:num>
  <w:num w:numId="1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displayBackgroundShape w:val="1"/>
  <w:documentProtection w:enforcement="0"/>
  <w:defaultTabStop w:val="720"/>
  <w:characterSpacingControl w:val="doNotCompress"/>
  <w:footnotePr>
    <w:footnote w:id="6"/>
    <w:footnote w:id="7"/>
  </w:footnotePr>
  <w:endnotePr>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9728D"/>
    <w:rsid w:val="00002B53"/>
    <w:rsid w:val="0000587E"/>
    <w:rsid w:val="000133DA"/>
    <w:rsid w:val="00013796"/>
    <w:rsid w:val="00014873"/>
    <w:rsid w:val="000167E7"/>
    <w:rsid w:val="0002234F"/>
    <w:rsid w:val="00024062"/>
    <w:rsid w:val="0002763C"/>
    <w:rsid w:val="00027FE3"/>
    <w:rsid w:val="000300A4"/>
    <w:rsid w:val="00036FCF"/>
    <w:rsid w:val="00040EAC"/>
    <w:rsid w:val="00040F24"/>
    <w:rsid w:val="00047562"/>
    <w:rsid w:val="00047647"/>
    <w:rsid w:val="000504A7"/>
    <w:rsid w:val="00051D3A"/>
    <w:rsid w:val="0005469C"/>
    <w:rsid w:val="00055D48"/>
    <w:rsid w:val="00056217"/>
    <w:rsid w:val="00062255"/>
    <w:rsid w:val="00062F2E"/>
    <w:rsid w:val="00063363"/>
    <w:rsid w:val="000643DD"/>
    <w:rsid w:val="00065BCB"/>
    <w:rsid w:val="00065DF8"/>
    <w:rsid w:val="00066C8E"/>
    <w:rsid w:val="00067629"/>
    <w:rsid w:val="00072DFF"/>
    <w:rsid w:val="00073D2E"/>
    <w:rsid w:val="000756FE"/>
    <w:rsid w:val="00082020"/>
    <w:rsid w:val="000827D6"/>
    <w:rsid w:val="00091449"/>
    <w:rsid w:val="000930E8"/>
    <w:rsid w:val="00097974"/>
    <w:rsid w:val="000A0294"/>
    <w:rsid w:val="000A4AD5"/>
    <w:rsid w:val="000A7A5F"/>
    <w:rsid w:val="000B1687"/>
    <w:rsid w:val="000B22EA"/>
    <w:rsid w:val="000B2DA6"/>
    <w:rsid w:val="000B683B"/>
    <w:rsid w:val="000B7150"/>
    <w:rsid w:val="000C1890"/>
    <w:rsid w:val="000C2373"/>
    <w:rsid w:val="000C70A8"/>
    <w:rsid w:val="000C7A44"/>
    <w:rsid w:val="000D0997"/>
    <w:rsid w:val="000D1B8E"/>
    <w:rsid w:val="000D1DB7"/>
    <w:rsid w:val="000D4A90"/>
    <w:rsid w:val="000D61F6"/>
    <w:rsid w:val="000E16FE"/>
    <w:rsid w:val="000E22B5"/>
    <w:rsid w:val="000E7DB6"/>
    <w:rsid w:val="000F2EED"/>
    <w:rsid w:val="001024FB"/>
    <w:rsid w:val="001035B3"/>
    <w:rsid w:val="001055D9"/>
    <w:rsid w:val="00111903"/>
    <w:rsid w:val="001124F6"/>
    <w:rsid w:val="00113F0A"/>
    <w:rsid w:val="00115D78"/>
    <w:rsid w:val="00116E25"/>
    <w:rsid w:val="00117A8B"/>
    <w:rsid w:val="00120A1A"/>
    <w:rsid w:val="00120DCB"/>
    <w:rsid w:val="00125A1F"/>
    <w:rsid w:val="00126075"/>
    <w:rsid w:val="0012620F"/>
    <w:rsid w:val="00127CA2"/>
    <w:rsid w:val="001317BF"/>
    <w:rsid w:val="00132723"/>
    <w:rsid w:val="00134461"/>
    <w:rsid w:val="001366A3"/>
    <w:rsid w:val="001402EC"/>
    <w:rsid w:val="0014075C"/>
    <w:rsid w:val="001454C7"/>
    <w:rsid w:val="00146553"/>
    <w:rsid w:val="00150DFC"/>
    <w:rsid w:val="00152510"/>
    <w:rsid w:val="00154F47"/>
    <w:rsid w:val="00162761"/>
    <w:rsid w:val="00163323"/>
    <w:rsid w:val="001672D6"/>
    <w:rsid w:val="00171624"/>
    <w:rsid w:val="00171CA7"/>
    <w:rsid w:val="00172800"/>
    <w:rsid w:val="001734BB"/>
    <w:rsid w:val="00174985"/>
    <w:rsid w:val="001753AD"/>
    <w:rsid w:val="00175927"/>
    <w:rsid w:val="00176594"/>
    <w:rsid w:val="001777FC"/>
    <w:rsid w:val="00180F9E"/>
    <w:rsid w:val="00182303"/>
    <w:rsid w:val="00183B16"/>
    <w:rsid w:val="001841C1"/>
    <w:rsid w:val="001845CA"/>
    <w:rsid w:val="001847F0"/>
    <w:rsid w:val="00185BBF"/>
    <w:rsid w:val="00186D0F"/>
    <w:rsid w:val="00190136"/>
    <w:rsid w:val="001907A3"/>
    <w:rsid w:val="00192458"/>
    <w:rsid w:val="00193D74"/>
    <w:rsid w:val="00194242"/>
    <w:rsid w:val="001952B1"/>
    <w:rsid w:val="00196DBF"/>
    <w:rsid w:val="0019728D"/>
    <w:rsid w:val="001A55FC"/>
    <w:rsid w:val="001A6697"/>
    <w:rsid w:val="001A6728"/>
    <w:rsid w:val="001A7FD0"/>
    <w:rsid w:val="001B00D3"/>
    <w:rsid w:val="001B0B78"/>
    <w:rsid w:val="001B0C1A"/>
    <w:rsid w:val="001B0CB4"/>
    <w:rsid w:val="001B1C6C"/>
    <w:rsid w:val="001B32BF"/>
    <w:rsid w:val="001B3F3E"/>
    <w:rsid w:val="001B5CFD"/>
    <w:rsid w:val="001C00AE"/>
    <w:rsid w:val="001C20BD"/>
    <w:rsid w:val="001C57A9"/>
    <w:rsid w:val="001C7B4F"/>
    <w:rsid w:val="001D0D82"/>
    <w:rsid w:val="001D1B18"/>
    <w:rsid w:val="001D2BEE"/>
    <w:rsid w:val="001D33ED"/>
    <w:rsid w:val="001D39CF"/>
    <w:rsid w:val="001D53C7"/>
    <w:rsid w:val="001D64D0"/>
    <w:rsid w:val="001D6A77"/>
    <w:rsid w:val="001E40BD"/>
    <w:rsid w:val="001E4A41"/>
    <w:rsid w:val="001E6C35"/>
    <w:rsid w:val="001F022F"/>
    <w:rsid w:val="001F0FA3"/>
    <w:rsid w:val="001F168B"/>
    <w:rsid w:val="001F4BE7"/>
    <w:rsid w:val="001F63CB"/>
    <w:rsid w:val="001F67EF"/>
    <w:rsid w:val="001F723B"/>
    <w:rsid w:val="0020111D"/>
    <w:rsid w:val="0020153B"/>
    <w:rsid w:val="00203C92"/>
    <w:rsid w:val="00205378"/>
    <w:rsid w:val="002058D2"/>
    <w:rsid w:val="002065B0"/>
    <w:rsid w:val="00207EAB"/>
    <w:rsid w:val="0021131E"/>
    <w:rsid w:val="002140F7"/>
    <w:rsid w:val="00215993"/>
    <w:rsid w:val="00217573"/>
    <w:rsid w:val="002228AB"/>
    <w:rsid w:val="00226824"/>
    <w:rsid w:val="00226DCB"/>
    <w:rsid w:val="00227C48"/>
    <w:rsid w:val="00227D23"/>
    <w:rsid w:val="002310D0"/>
    <w:rsid w:val="00232387"/>
    <w:rsid w:val="002352B4"/>
    <w:rsid w:val="0023657B"/>
    <w:rsid w:val="00236F75"/>
    <w:rsid w:val="0023763F"/>
    <w:rsid w:val="00242AD9"/>
    <w:rsid w:val="00242D39"/>
    <w:rsid w:val="00243354"/>
    <w:rsid w:val="00246E08"/>
    <w:rsid w:val="00247660"/>
    <w:rsid w:val="00250E0C"/>
    <w:rsid w:val="0025123D"/>
    <w:rsid w:val="00251B8A"/>
    <w:rsid w:val="00256E84"/>
    <w:rsid w:val="00257312"/>
    <w:rsid w:val="00261364"/>
    <w:rsid w:val="00264B15"/>
    <w:rsid w:val="00266C94"/>
    <w:rsid w:val="00267516"/>
    <w:rsid w:val="0026775E"/>
    <w:rsid w:val="002719CC"/>
    <w:rsid w:val="002732DD"/>
    <w:rsid w:val="00273E59"/>
    <w:rsid w:val="0027452C"/>
    <w:rsid w:val="00277B6C"/>
    <w:rsid w:val="00277D74"/>
    <w:rsid w:val="00280818"/>
    <w:rsid w:val="0028130A"/>
    <w:rsid w:val="0028130F"/>
    <w:rsid w:val="00281BBF"/>
    <w:rsid w:val="00285135"/>
    <w:rsid w:val="002853E0"/>
    <w:rsid w:val="002875AC"/>
    <w:rsid w:val="00292F35"/>
    <w:rsid w:val="00294968"/>
    <w:rsid w:val="00294CFC"/>
    <w:rsid w:val="002957B8"/>
    <w:rsid w:val="002A32E9"/>
    <w:rsid w:val="002A4D00"/>
    <w:rsid w:val="002A781F"/>
    <w:rsid w:val="002A79B5"/>
    <w:rsid w:val="002B08C9"/>
    <w:rsid w:val="002B2870"/>
    <w:rsid w:val="002B3445"/>
    <w:rsid w:val="002B4223"/>
    <w:rsid w:val="002B44D0"/>
    <w:rsid w:val="002C0308"/>
    <w:rsid w:val="002C0FBC"/>
    <w:rsid w:val="002D10A1"/>
    <w:rsid w:val="002D1882"/>
    <w:rsid w:val="002D22CA"/>
    <w:rsid w:val="002D2CC6"/>
    <w:rsid w:val="002D4E29"/>
    <w:rsid w:val="002E57C6"/>
    <w:rsid w:val="002F36E0"/>
    <w:rsid w:val="002F3B12"/>
    <w:rsid w:val="002F5005"/>
    <w:rsid w:val="002F70A5"/>
    <w:rsid w:val="0030108A"/>
    <w:rsid w:val="003013C7"/>
    <w:rsid w:val="00305363"/>
    <w:rsid w:val="00305F75"/>
    <w:rsid w:val="00306317"/>
    <w:rsid w:val="00307FBC"/>
    <w:rsid w:val="00310C43"/>
    <w:rsid w:val="00310DBA"/>
    <w:rsid w:val="00312AE4"/>
    <w:rsid w:val="00312FDB"/>
    <w:rsid w:val="00315988"/>
    <w:rsid w:val="00316AEB"/>
    <w:rsid w:val="00317A16"/>
    <w:rsid w:val="0032477E"/>
    <w:rsid w:val="00324860"/>
    <w:rsid w:val="0032571A"/>
    <w:rsid w:val="00326160"/>
    <w:rsid w:val="00331CB3"/>
    <w:rsid w:val="00337FAD"/>
    <w:rsid w:val="00340625"/>
    <w:rsid w:val="00344277"/>
    <w:rsid w:val="003444C6"/>
    <w:rsid w:val="00346B46"/>
    <w:rsid w:val="00347D9A"/>
    <w:rsid w:val="00350073"/>
    <w:rsid w:val="0035018C"/>
    <w:rsid w:val="00351733"/>
    <w:rsid w:val="00351841"/>
    <w:rsid w:val="0035272F"/>
    <w:rsid w:val="003530C5"/>
    <w:rsid w:val="00353EA4"/>
    <w:rsid w:val="00355EC5"/>
    <w:rsid w:val="003565E6"/>
    <w:rsid w:val="0035670B"/>
    <w:rsid w:val="00360061"/>
    <w:rsid w:val="00361DC4"/>
    <w:rsid w:val="00362533"/>
    <w:rsid w:val="00363381"/>
    <w:rsid w:val="00363CDA"/>
    <w:rsid w:val="00363EFE"/>
    <w:rsid w:val="00364ECA"/>
    <w:rsid w:val="00366065"/>
    <w:rsid w:val="00366248"/>
    <w:rsid w:val="00366AC4"/>
    <w:rsid w:val="0036742E"/>
    <w:rsid w:val="003703FE"/>
    <w:rsid w:val="00370DA5"/>
    <w:rsid w:val="0037179C"/>
    <w:rsid w:val="00371BCB"/>
    <w:rsid w:val="00371F5A"/>
    <w:rsid w:val="003738E4"/>
    <w:rsid w:val="003801C7"/>
    <w:rsid w:val="00380A75"/>
    <w:rsid w:val="0038139E"/>
    <w:rsid w:val="00381A35"/>
    <w:rsid w:val="00381AA4"/>
    <w:rsid w:val="00383A79"/>
    <w:rsid w:val="00384A98"/>
    <w:rsid w:val="003861ED"/>
    <w:rsid w:val="00390D2F"/>
    <w:rsid w:val="003930A3"/>
    <w:rsid w:val="00394713"/>
    <w:rsid w:val="00397E08"/>
    <w:rsid w:val="003A1169"/>
    <w:rsid w:val="003A4326"/>
    <w:rsid w:val="003A50BE"/>
    <w:rsid w:val="003A58D8"/>
    <w:rsid w:val="003B04A2"/>
    <w:rsid w:val="003B11F1"/>
    <w:rsid w:val="003B6F26"/>
    <w:rsid w:val="003C4BF2"/>
    <w:rsid w:val="003C50FB"/>
    <w:rsid w:val="003C6BF8"/>
    <w:rsid w:val="003C7E97"/>
    <w:rsid w:val="003D019C"/>
    <w:rsid w:val="003D0ED9"/>
    <w:rsid w:val="003D252C"/>
    <w:rsid w:val="003D263F"/>
    <w:rsid w:val="003D36DC"/>
    <w:rsid w:val="003D5512"/>
    <w:rsid w:val="003D658D"/>
    <w:rsid w:val="003D7B8F"/>
    <w:rsid w:val="003E05E9"/>
    <w:rsid w:val="003E117E"/>
    <w:rsid w:val="003E1FD0"/>
    <w:rsid w:val="003E21F2"/>
    <w:rsid w:val="003E221F"/>
    <w:rsid w:val="003E5BE0"/>
    <w:rsid w:val="003E603B"/>
    <w:rsid w:val="003F032F"/>
    <w:rsid w:val="003F055F"/>
    <w:rsid w:val="003F2A22"/>
    <w:rsid w:val="003F5309"/>
    <w:rsid w:val="003F5DD7"/>
    <w:rsid w:val="003F7531"/>
    <w:rsid w:val="003F7778"/>
    <w:rsid w:val="003F7E77"/>
    <w:rsid w:val="004006AC"/>
    <w:rsid w:val="00410AFA"/>
    <w:rsid w:val="0041394C"/>
    <w:rsid w:val="00413D39"/>
    <w:rsid w:val="004152B7"/>
    <w:rsid w:val="0041669F"/>
    <w:rsid w:val="00417D7C"/>
    <w:rsid w:val="004209DE"/>
    <w:rsid w:val="00424610"/>
    <w:rsid w:val="00424D0D"/>
    <w:rsid w:val="00425065"/>
    <w:rsid w:val="004313C8"/>
    <w:rsid w:val="00433ED2"/>
    <w:rsid w:val="00440573"/>
    <w:rsid w:val="004418D8"/>
    <w:rsid w:val="00441E84"/>
    <w:rsid w:val="00442D3D"/>
    <w:rsid w:val="00444BD8"/>
    <w:rsid w:val="00447635"/>
    <w:rsid w:val="00453884"/>
    <w:rsid w:val="00461EE0"/>
    <w:rsid w:val="00466285"/>
    <w:rsid w:val="00467BD3"/>
    <w:rsid w:val="004717F1"/>
    <w:rsid w:val="00472E73"/>
    <w:rsid w:val="0047446A"/>
    <w:rsid w:val="00475B14"/>
    <w:rsid w:val="00480AD8"/>
    <w:rsid w:val="00480C7E"/>
    <w:rsid w:val="00482435"/>
    <w:rsid w:val="0048373B"/>
    <w:rsid w:val="004840DE"/>
    <w:rsid w:val="004843D9"/>
    <w:rsid w:val="00484761"/>
    <w:rsid w:val="00485FE6"/>
    <w:rsid w:val="0048657F"/>
    <w:rsid w:val="00490F37"/>
    <w:rsid w:val="00495330"/>
    <w:rsid w:val="0049572B"/>
    <w:rsid w:val="00496095"/>
    <w:rsid w:val="004966E3"/>
    <w:rsid w:val="00496FBA"/>
    <w:rsid w:val="004A4593"/>
    <w:rsid w:val="004A77E9"/>
    <w:rsid w:val="004B07C4"/>
    <w:rsid w:val="004B0EA9"/>
    <w:rsid w:val="004B1C6B"/>
    <w:rsid w:val="004B355F"/>
    <w:rsid w:val="004B410D"/>
    <w:rsid w:val="004B68D4"/>
    <w:rsid w:val="004B68FA"/>
    <w:rsid w:val="004B6942"/>
    <w:rsid w:val="004B7041"/>
    <w:rsid w:val="004B79BC"/>
    <w:rsid w:val="004C022C"/>
    <w:rsid w:val="004C0862"/>
    <w:rsid w:val="004C0C9B"/>
    <w:rsid w:val="004C13DC"/>
    <w:rsid w:val="004C1BFC"/>
    <w:rsid w:val="004C1E6D"/>
    <w:rsid w:val="004C209A"/>
    <w:rsid w:val="004C28CD"/>
    <w:rsid w:val="004C47B1"/>
    <w:rsid w:val="004C636A"/>
    <w:rsid w:val="004D0C05"/>
    <w:rsid w:val="004D1648"/>
    <w:rsid w:val="004D2035"/>
    <w:rsid w:val="004D2766"/>
    <w:rsid w:val="004D2831"/>
    <w:rsid w:val="004D4329"/>
    <w:rsid w:val="004D4E89"/>
    <w:rsid w:val="004D6FC2"/>
    <w:rsid w:val="004D7B9D"/>
    <w:rsid w:val="004D7D23"/>
    <w:rsid w:val="004E0313"/>
    <w:rsid w:val="004E14CD"/>
    <w:rsid w:val="004E7CA1"/>
    <w:rsid w:val="004E7EB7"/>
    <w:rsid w:val="004F27B3"/>
    <w:rsid w:val="004F2AC6"/>
    <w:rsid w:val="00500172"/>
    <w:rsid w:val="00500682"/>
    <w:rsid w:val="00502B1B"/>
    <w:rsid w:val="00503F29"/>
    <w:rsid w:val="00504EBD"/>
    <w:rsid w:val="00511BD8"/>
    <w:rsid w:val="00513080"/>
    <w:rsid w:val="00514936"/>
    <w:rsid w:val="00515459"/>
    <w:rsid w:val="00515885"/>
    <w:rsid w:val="00515B31"/>
    <w:rsid w:val="00517D92"/>
    <w:rsid w:val="0052085C"/>
    <w:rsid w:val="00521C2D"/>
    <w:rsid w:val="00523258"/>
    <w:rsid w:val="00523BC0"/>
    <w:rsid w:val="005267F2"/>
    <w:rsid w:val="00526FCE"/>
    <w:rsid w:val="0052752D"/>
    <w:rsid w:val="00530695"/>
    <w:rsid w:val="00530CC5"/>
    <w:rsid w:val="00530F73"/>
    <w:rsid w:val="00531943"/>
    <w:rsid w:val="00532C8F"/>
    <w:rsid w:val="005337A0"/>
    <w:rsid w:val="00542C4F"/>
    <w:rsid w:val="00545228"/>
    <w:rsid w:val="00553E05"/>
    <w:rsid w:val="0055532C"/>
    <w:rsid w:val="00556E6A"/>
    <w:rsid w:val="00557D69"/>
    <w:rsid w:val="00561805"/>
    <w:rsid w:val="005625C1"/>
    <w:rsid w:val="00563826"/>
    <w:rsid w:val="0056423C"/>
    <w:rsid w:val="00566A64"/>
    <w:rsid w:val="00570D46"/>
    <w:rsid w:val="00574434"/>
    <w:rsid w:val="00574C42"/>
    <w:rsid w:val="0057510C"/>
    <w:rsid w:val="00576F7D"/>
    <w:rsid w:val="005820E2"/>
    <w:rsid w:val="005918EB"/>
    <w:rsid w:val="00592A43"/>
    <w:rsid w:val="00595711"/>
    <w:rsid w:val="0059620A"/>
    <w:rsid w:val="005978E8"/>
    <w:rsid w:val="00597A67"/>
    <w:rsid w:val="005A303C"/>
    <w:rsid w:val="005A3C43"/>
    <w:rsid w:val="005A491E"/>
    <w:rsid w:val="005A7B22"/>
    <w:rsid w:val="005B0EAD"/>
    <w:rsid w:val="005B3B55"/>
    <w:rsid w:val="005B514E"/>
    <w:rsid w:val="005B5270"/>
    <w:rsid w:val="005B777C"/>
    <w:rsid w:val="005B7A88"/>
    <w:rsid w:val="005C010B"/>
    <w:rsid w:val="005C06E3"/>
    <w:rsid w:val="005C55E6"/>
    <w:rsid w:val="005D13BF"/>
    <w:rsid w:val="005D1BBA"/>
    <w:rsid w:val="005D37DC"/>
    <w:rsid w:val="005D3AEE"/>
    <w:rsid w:val="005D5312"/>
    <w:rsid w:val="005E0BE1"/>
    <w:rsid w:val="005E39F2"/>
    <w:rsid w:val="005E4E76"/>
    <w:rsid w:val="005F7642"/>
    <w:rsid w:val="006003F3"/>
    <w:rsid w:val="0060172A"/>
    <w:rsid w:val="00602B6B"/>
    <w:rsid w:val="00603837"/>
    <w:rsid w:val="00603E7A"/>
    <w:rsid w:val="00603E92"/>
    <w:rsid w:val="0060701B"/>
    <w:rsid w:val="006079D1"/>
    <w:rsid w:val="00610052"/>
    <w:rsid w:val="006126B1"/>
    <w:rsid w:val="0061674F"/>
    <w:rsid w:val="00616F19"/>
    <w:rsid w:val="00620B6C"/>
    <w:rsid w:val="00620B73"/>
    <w:rsid w:val="00620CB6"/>
    <w:rsid w:val="006216F5"/>
    <w:rsid w:val="006224C2"/>
    <w:rsid w:val="006237E7"/>
    <w:rsid w:val="00624B5B"/>
    <w:rsid w:val="006251BE"/>
    <w:rsid w:val="00626282"/>
    <w:rsid w:val="00626443"/>
    <w:rsid w:val="00633E99"/>
    <w:rsid w:val="00634FA6"/>
    <w:rsid w:val="006357F9"/>
    <w:rsid w:val="00636695"/>
    <w:rsid w:val="00636D28"/>
    <w:rsid w:val="00636F4C"/>
    <w:rsid w:val="006373BD"/>
    <w:rsid w:val="00640282"/>
    <w:rsid w:val="00641D7E"/>
    <w:rsid w:val="00643603"/>
    <w:rsid w:val="00646084"/>
    <w:rsid w:val="00654138"/>
    <w:rsid w:val="0065419E"/>
    <w:rsid w:val="006604FB"/>
    <w:rsid w:val="0066794E"/>
    <w:rsid w:val="00667EAB"/>
    <w:rsid w:val="00670C1D"/>
    <w:rsid w:val="00672F01"/>
    <w:rsid w:val="0067446B"/>
    <w:rsid w:val="00674806"/>
    <w:rsid w:val="006767B0"/>
    <w:rsid w:val="00677298"/>
    <w:rsid w:val="0068264C"/>
    <w:rsid w:val="006873D5"/>
    <w:rsid w:val="0068798A"/>
    <w:rsid w:val="00690821"/>
    <w:rsid w:val="00690BB8"/>
    <w:rsid w:val="00691C5B"/>
    <w:rsid w:val="00694F7C"/>
    <w:rsid w:val="006A014A"/>
    <w:rsid w:val="006A0CB0"/>
    <w:rsid w:val="006A0FA2"/>
    <w:rsid w:val="006A1515"/>
    <w:rsid w:val="006A276A"/>
    <w:rsid w:val="006A29F1"/>
    <w:rsid w:val="006A45E4"/>
    <w:rsid w:val="006A50B7"/>
    <w:rsid w:val="006A6BDD"/>
    <w:rsid w:val="006A77BB"/>
    <w:rsid w:val="006B00BA"/>
    <w:rsid w:val="006B1916"/>
    <w:rsid w:val="006B1E36"/>
    <w:rsid w:val="006B1F94"/>
    <w:rsid w:val="006B2294"/>
    <w:rsid w:val="006B62F3"/>
    <w:rsid w:val="006B6A8A"/>
    <w:rsid w:val="006B70B9"/>
    <w:rsid w:val="006B7493"/>
    <w:rsid w:val="006C075A"/>
    <w:rsid w:val="006C1867"/>
    <w:rsid w:val="006C34BF"/>
    <w:rsid w:val="006C35F5"/>
    <w:rsid w:val="006D00A3"/>
    <w:rsid w:val="006D18D4"/>
    <w:rsid w:val="006D1C0D"/>
    <w:rsid w:val="006D4DE9"/>
    <w:rsid w:val="006D54BA"/>
    <w:rsid w:val="006D5E72"/>
    <w:rsid w:val="006D6033"/>
    <w:rsid w:val="006D78BC"/>
    <w:rsid w:val="006D7EF3"/>
    <w:rsid w:val="006E1A36"/>
    <w:rsid w:val="006E3CC9"/>
    <w:rsid w:val="006E4B1C"/>
    <w:rsid w:val="006E6983"/>
    <w:rsid w:val="006E72F1"/>
    <w:rsid w:val="006F53D1"/>
    <w:rsid w:val="006F59F8"/>
    <w:rsid w:val="006F7494"/>
    <w:rsid w:val="0070139F"/>
    <w:rsid w:val="0070224E"/>
    <w:rsid w:val="00702F28"/>
    <w:rsid w:val="007102B5"/>
    <w:rsid w:val="007103AA"/>
    <w:rsid w:val="007213A9"/>
    <w:rsid w:val="00721E1F"/>
    <w:rsid w:val="00722603"/>
    <w:rsid w:val="007229B7"/>
    <w:rsid w:val="00724961"/>
    <w:rsid w:val="0072693B"/>
    <w:rsid w:val="0073128F"/>
    <w:rsid w:val="00733404"/>
    <w:rsid w:val="0073725F"/>
    <w:rsid w:val="00737335"/>
    <w:rsid w:val="00741E43"/>
    <w:rsid w:val="007433EC"/>
    <w:rsid w:val="00743A01"/>
    <w:rsid w:val="00743B9A"/>
    <w:rsid w:val="00745790"/>
    <w:rsid w:val="007457AD"/>
    <w:rsid w:val="00747B98"/>
    <w:rsid w:val="00751A36"/>
    <w:rsid w:val="00753192"/>
    <w:rsid w:val="0075621E"/>
    <w:rsid w:val="007615A1"/>
    <w:rsid w:val="00761822"/>
    <w:rsid w:val="00763CA0"/>
    <w:rsid w:val="0076425B"/>
    <w:rsid w:val="00764DD8"/>
    <w:rsid w:val="00766FEE"/>
    <w:rsid w:val="00776D5E"/>
    <w:rsid w:val="00782537"/>
    <w:rsid w:val="00783023"/>
    <w:rsid w:val="00784B69"/>
    <w:rsid w:val="007864EC"/>
    <w:rsid w:val="0078657E"/>
    <w:rsid w:val="00786BCE"/>
    <w:rsid w:val="00787988"/>
    <w:rsid w:val="00794DE8"/>
    <w:rsid w:val="0079585D"/>
    <w:rsid w:val="007A1ACF"/>
    <w:rsid w:val="007A1BB6"/>
    <w:rsid w:val="007A46D5"/>
    <w:rsid w:val="007B04EF"/>
    <w:rsid w:val="007B1247"/>
    <w:rsid w:val="007B14DD"/>
    <w:rsid w:val="007B5665"/>
    <w:rsid w:val="007B6217"/>
    <w:rsid w:val="007B64F0"/>
    <w:rsid w:val="007B7E56"/>
    <w:rsid w:val="007C08B1"/>
    <w:rsid w:val="007C1D1E"/>
    <w:rsid w:val="007C5C31"/>
    <w:rsid w:val="007C60E4"/>
    <w:rsid w:val="007C7681"/>
    <w:rsid w:val="007C7B79"/>
    <w:rsid w:val="007D1D39"/>
    <w:rsid w:val="007D229E"/>
    <w:rsid w:val="007D378F"/>
    <w:rsid w:val="007D3DE3"/>
    <w:rsid w:val="007D4BC7"/>
    <w:rsid w:val="007D6AF5"/>
    <w:rsid w:val="007E0507"/>
    <w:rsid w:val="007E05F1"/>
    <w:rsid w:val="007E0C2D"/>
    <w:rsid w:val="007E2CF2"/>
    <w:rsid w:val="007E314F"/>
    <w:rsid w:val="007E4B8F"/>
    <w:rsid w:val="007E5A35"/>
    <w:rsid w:val="007E76A5"/>
    <w:rsid w:val="007F02A1"/>
    <w:rsid w:val="007F037D"/>
    <w:rsid w:val="007F0ADA"/>
    <w:rsid w:val="007F118E"/>
    <w:rsid w:val="007F1673"/>
    <w:rsid w:val="007F5585"/>
    <w:rsid w:val="007F6F73"/>
    <w:rsid w:val="008046B5"/>
    <w:rsid w:val="00804DB0"/>
    <w:rsid w:val="0080605C"/>
    <w:rsid w:val="0081071D"/>
    <w:rsid w:val="00811F17"/>
    <w:rsid w:val="008122CA"/>
    <w:rsid w:val="0081301E"/>
    <w:rsid w:val="00813062"/>
    <w:rsid w:val="0081322A"/>
    <w:rsid w:val="00813931"/>
    <w:rsid w:val="00814978"/>
    <w:rsid w:val="0081623E"/>
    <w:rsid w:val="00816D7A"/>
    <w:rsid w:val="00821FEE"/>
    <w:rsid w:val="00822316"/>
    <w:rsid w:val="00822ED7"/>
    <w:rsid w:val="00823928"/>
    <w:rsid w:val="0082407E"/>
    <w:rsid w:val="008300F2"/>
    <w:rsid w:val="00831FC9"/>
    <w:rsid w:val="00833ECB"/>
    <w:rsid w:val="00835ED5"/>
    <w:rsid w:val="00836372"/>
    <w:rsid w:val="00836EA4"/>
    <w:rsid w:val="00847143"/>
    <w:rsid w:val="008505E9"/>
    <w:rsid w:val="00850C14"/>
    <w:rsid w:val="00851F15"/>
    <w:rsid w:val="0085445F"/>
    <w:rsid w:val="00862772"/>
    <w:rsid w:val="00875DF0"/>
    <w:rsid w:val="00880935"/>
    <w:rsid w:val="0088142B"/>
    <w:rsid w:val="0088182C"/>
    <w:rsid w:val="008838C8"/>
    <w:rsid w:val="00883E31"/>
    <w:rsid w:val="00885F93"/>
    <w:rsid w:val="008905CD"/>
    <w:rsid w:val="0089125E"/>
    <w:rsid w:val="008922A3"/>
    <w:rsid w:val="0089277F"/>
    <w:rsid w:val="008A01EE"/>
    <w:rsid w:val="008A02F0"/>
    <w:rsid w:val="008A280E"/>
    <w:rsid w:val="008A4E99"/>
    <w:rsid w:val="008A553A"/>
    <w:rsid w:val="008A570F"/>
    <w:rsid w:val="008A5B03"/>
    <w:rsid w:val="008A72DF"/>
    <w:rsid w:val="008A7795"/>
    <w:rsid w:val="008A7E6C"/>
    <w:rsid w:val="008A7F5D"/>
    <w:rsid w:val="008B0AA0"/>
    <w:rsid w:val="008B0F31"/>
    <w:rsid w:val="008B32D3"/>
    <w:rsid w:val="008B3F71"/>
    <w:rsid w:val="008B4756"/>
    <w:rsid w:val="008B529A"/>
    <w:rsid w:val="008C1033"/>
    <w:rsid w:val="008C7CD2"/>
    <w:rsid w:val="008D339C"/>
    <w:rsid w:val="008D386B"/>
    <w:rsid w:val="008E0E69"/>
    <w:rsid w:val="008E0FD7"/>
    <w:rsid w:val="008E15C4"/>
    <w:rsid w:val="008E18E5"/>
    <w:rsid w:val="008E308E"/>
    <w:rsid w:val="008E4C65"/>
    <w:rsid w:val="008E7181"/>
    <w:rsid w:val="008E7794"/>
    <w:rsid w:val="008F6FD1"/>
    <w:rsid w:val="008F7C3D"/>
    <w:rsid w:val="00902FFA"/>
    <w:rsid w:val="00906C59"/>
    <w:rsid w:val="009077AA"/>
    <w:rsid w:val="00914929"/>
    <w:rsid w:val="00915256"/>
    <w:rsid w:val="00915CA4"/>
    <w:rsid w:val="009207E2"/>
    <w:rsid w:val="009314AE"/>
    <w:rsid w:val="00933A7F"/>
    <w:rsid w:val="0093456E"/>
    <w:rsid w:val="0093529A"/>
    <w:rsid w:val="0093531A"/>
    <w:rsid w:val="00935772"/>
    <w:rsid w:val="00935D3A"/>
    <w:rsid w:val="0093731D"/>
    <w:rsid w:val="00940192"/>
    <w:rsid w:val="00950768"/>
    <w:rsid w:val="00951329"/>
    <w:rsid w:val="00952596"/>
    <w:rsid w:val="009529E3"/>
    <w:rsid w:val="00953B7B"/>
    <w:rsid w:val="009616EB"/>
    <w:rsid w:val="009638C1"/>
    <w:rsid w:val="0097149F"/>
    <w:rsid w:val="00972512"/>
    <w:rsid w:val="00973506"/>
    <w:rsid w:val="00974AC1"/>
    <w:rsid w:val="00976896"/>
    <w:rsid w:val="00976928"/>
    <w:rsid w:val="00980029"/>
    <w:rsid w:val="00981206"/>
    <w:rsid w:val="00982A82"/>
    <w:rsid w:val="0098361F"/>
    <w:rsid w:val="00985855"/>
    <w:rsid w:val="00987C77"/>
    <w:rsid w:val="0099096E"/>
    <w:rsid w:val="00993444"/>
    <w:rsid w:val="00994ECF"/>
    <w:rsid w:val="009971A5"/>
    <w:rsid w:val="0099790F"/>
    <w:rsid w:val="00997A35"/>
    <w:rsid w:val="00997FB7"/>
    <w:rsid w:val="009A19B9"/>
    <w:rsid w:val="009A3FFB"/>
    <w:rsid w:val="009A4C6D"/>
    <w:rsid w:val="009A5463"/>
    <w:rsid w:val="009A54C5"/>
    <w:rsid w:val="009A5BC3"/>
    <w:rsid w:val="009B1F96"/>
    <w:rsid w:val="009B402A"/>
    <w:rsid w:val="009B494A"/>
    <w:rsid w:val="009B533A"/>
    <w:rsid w:val="009B5650"/>
    <w:rsid w:val="009B67BF"/>
    <w:rsid w:val="009C0ADE"/>
    <w:rsid w:val="009C3113"/>
    <w:rsid w:val="009C392E"/>
    <w:rsid w:val="009C4C55"/>
    <w:rsid w:val="009C6FCE"/>
    <w:rsid w:val="009C702E"/>
    <w:rsid w:val="009C7043"/>
    <w:rsid w:val="009C7180"/>
    <w:rsid w:val="009D1925"/>
    <w:rsid w:val="009D26F2"/>
    <w:rsid w:val="009D46BD"/>
    <w:rsid w:val="009D50D1"/>
    <w:rsid w:val="009D5F46"/>
    <w:rsid w:val="009E1ED5"/>
    <w:rsid w:val="009E1F51"/>
    <w:rsid w:val="009E6F2C"/>
    <w:rsid w:val="009E7ADF"/>
    <w:rsid w:val="009F008D"/>
    <w:rsid w:val="009F4272"/>
    <w:rsid w:val="00A009D3"/>
    <w:rsid w:val="00A0401B"/>
    <w:rsid w:val="00A04F97"/>
    <w:rsid w:val="00A05BA8"/>
    <w:rsid w:val="00A10C3F"/>
    <w:rsid w:val="00A114AA"/>
    <w:rsid w:val="00A123E4"/>
    <w:rsid w:val="00A12BAD"/>
    <w:rsid w:val="00A16D6A"/>
    <w:rsid w:val="00A211EE"/>
    <w:rsid w:val="00A222A8"/>
    <w:rsid w:val="00A229B1"/>
    <w:rsid w:val="00A236BA"/>
    <w:rsid w:val="00A24C4A"/>
    <w:rsid w:val="00A24F21"/>
    <w:rsid w:val="00A3130B"/>
    <w:rsid w:val="00A335D5"/>
    <w:rsid w:val="00A3531E"/>
    <w:rsid w:val="00A357B5"/>
    <w:rsid w:val="00A35928"/>
    <w:rsid w:val="00A35BBA"/>
    <w:rsid w:val="00A41EB3"/>
    <w:rsid w:val="00A506B6"/>
    <w:rsid w:val="00A5280A"/>
    <w:rsid w:val="00A53735"/>
    <w:rsid w:val="00A55BAB"/>
    <w:rsid w:val="00A62780"/>
    <w:rsid w:val="00A6499B"/>
    <w:rsid w:val="00A64AF3"/>
    <w:rsid w:val="00A6563D"/>
    <w:rsid w:val="00A67BE6"/>
    <w:rsid w:val="00A67C19"/>
    <w:rsid w:val="00A67F7D"/>
    <w:rsid w:val="00A70D8F"/>
    <w:rsid w:val="00A72B9F"/>
    <w:rsid w:val="00A77F4F"/>
    <w:rsid w:val="00A81113"/>
    <w:rsid w:val="00A83501"/>
    <w:rsid w:val="00A84979"/>
    <w:rsid w:val="00A85C5D"/>
    <w:rsid w:val="00A87F68"/>
    <w:rsid w:val="00A919AA"/>
    <w:rsid w:val="00A919C9"/>
    <w:rsid w:val="00A92E68"/>
    <w:rsid w:val="00A9401A"/>
    <w:rsid w:val="00A9406F"/>
    <w:rsid w:val="00A94937"/>
    <w:rsid w:val="00A94FDF"/>
    <w:rsid w:val="00AA05A9"/>
    <w:rsid w:val="00AA075D"/>
    <w:rsid w:val="00AA10E1"/>
    <w:rsid w:val="00AA23A8"/>
    <w:rsid w:val="00AA2DE7"/>
    <w:rsid w:val="00AA5512"/>
    <w:rsid w:val="00AA598C"/>
    <w:rsid w:val="00AA5FA2"/>
    <w:rsid w:val="00AA75CA"/>
    <w:rsid w:val="00AB50B9"/>
    <w:rsid w:val="00AB5544"/>
    <w:rsid w:val="00AC2237"/>
    <w:rsid w:val="00AC3149"/>
    <w:rsid w:val="00AC583A"/>
    <w:rsid w:val="00AC6564"/>
    <w:rsid w:val="00AD1FD4"/>
    <w:rsid w:val="00AD2F73"/>
    <w:rsid w:val="00AD4AB3"/>
    <w:rsid w:val="00AE2B21"/>
    <w:rsid w:val="00AE69E1"/>
    <w:rsid w:val="00AE723E"/>
    <w:rsid w:val="00AF28AA"/>
    <w:rsid w:val="00AF6801"/>
    <w:rsid w:val="00B00278"/>
    <w:rsid w:val="00B00C14"/>
    <w:rsid w:val="00B0174D"/>
    <w:rsid w:val="00B01A4C"/>
    <w:rsid w:val="00B0245B"/>
    <w:rsid w:val="00B02A10"/>
    <w:rsid w:val="00B0567E"/>
    <w:rsid w:val="00B05DEF"/>
    <w:rsid w:val="00B0730F"/>
    <w:rsid w:val="00B075AD"/>
    <w:rsid w:val="00B1131F"/>
    <w:rsid w:val="00B11FA7"/>
    <w:rsid w:val="00B128C2"/>
    <w:rsid w:val="00B141E3"/>
    <w:rsid w:val="00B15DD6"/>
    <w:rsid w:val="00B16E96"/>
    <w:rsid w:val="00B17795"/>
    <w:rsid w:val="00B22C0A"/>
    <w:rsid w:val="00B24D1D"/>
    <w:rsid w:val="00B26F20"/>
    <w:rsid w:val="00B272E4"/>
    <w:rsid w:val="00B3081B"/>
    <w:rsid w:val="00B37AEF"/>
    <w:rsid w:val="00B425C2"/>
    <w:rsid w:val="00B44845"/>
    <w:rsid w:val="00B44ACD"/>
    <w:rsid w:val="00B458BA"/>
    <w:rsid w:val="00B50BCE"/>
    <w:rsid w:val="00B518EC"/>
    <w:rsid w:val="00B51A9D"/>
    <w:rsid w:val="00B52203"/>
    <w:rsid w:val="00B53268"/>
    <w:rsid w:val="00B5433E"/>
    <w:rsid w:val="00B56FEC"/>
    <w:rsid w:val="00B5783B"/>
    <w:rsid w:val="00B601A8"/>
    <w:rsid w:val="00B60783"/>
    <w:rsid w:val="00B61179"/>
    <w:rsid w:val="00B65AF3"/>
    <w:rsid w:val="00B65BA0"/>
    <w:rsid w:val="00B6644B"/>
    <w:rsid w:val="00B672E8"/>
    <w:rsid w:val="00B70D31"/>
    <w:rsid w:val="00B7265F"/>
    <w:rsid w:val="00B73AE1"/>
    <w:rsid w:val="00B744A4"/>
    <w:rsid w:val="00B7535E"/>
    <w:rsid w:val="00B77E57"/>
    <w:rsid w:val="00B85858"/>
    <w:rsid w:val="00B85915"/>
    <w:rsid w:val="00B91F0A"/>
    <w:rsid w:val="00B9242E"/>
    <w:rsid w:val="00B93372"/>
    <w:rsid w:val="00B93534"/>
    <w:rsid w:val="00B94B1D"/>
    <w:rsid w:val="00B94D56"/>
    <w:rsid w:val="00B9509A"/>
    <w:rsid w:val="00B95CC2"/>
    <w:rsid w:val="00BA2806"/>
    <w:rsid w:val="00BA5D14"/>
    <w:rsid w:val="00BA66BC"/>
    <w:rsid w:val="00BA7D1C"/>
    <w:rsid w:val="00BB2477"/>
    <w:rsid w:val="00BB2A1C"/>
    <w:rsid w:val="00BB5348"/>
    <w:rsid w:val="00BB5EA6"/>
    <w:rsid w:val="00BB65D2"/>
    <w:rsid w:val="00BB7CEF"/>
    <w:rsid w:val="00BC2866"/>
    <w:rsid w:val="00BC3307"/>
    <w:rsid w:val="00BC418F"/>
    <w:rsid w:val="00BC4988"/>
    <w:rsid w:val="00BC5ECD"/>
    <w:rsid w:val="00BC7862"/>
    <w:rsid w:val="00BD41E6"/>
    <w:rsid w:val="00BD5109"/>
    <w:rsid w:val="00BD63EF"/>
    <w:rsid w:val="00BD6DC2"/>
    <w:rsid w:val="00BD7BC8"/>
    <w:rsid w:val="00BE05B7"/>
    <w:rsid w:val="00BE13FF"/>
    <w:rsid w:val="00BE16E3"/>
    <w:rsid w:val="00BE4AAB"/>
    <w:rsid w:val="00BE79C4"/>
    <w:rsid w:val="00BF1FF8"/>
    <w:rsid w:val="00BF31D5"/>
    <w:rsid w:val="00BF6962"/>
    <w:rsid w:val="00C007BD"/>
    <w:rsid w:val="00C028B3"/>
    <w:rsid w:val="00C05A38"/>
    <w:rsid w:val="00C0645B"/>
    <w:rsid w:val="00C07426"/>
    <w:rsid w:val="00C10199"/>
    <w:rsid w:val="00C10A1B"/>
    <w:rsid w:val="00C10AE8"/>
    <w:rsid w:val="00C2329C"/>
    <w:rsid w:val="00C23446"/>
    <w:rsid w:val="00C26721"/>
    <w:rsid w:val="00C26924"/>
    <w:rsid w:val="00C273B9"/>
    <w:rsid w:val="00C365EE"/>
    <w:rsid w:val="00C368BF"/>
    <w:rsid w:val="00C37B2D"/>
    <w:rsid w:val="00C41234"/>
    <w:rsid w:val="00C44CBB"/>
    <w:rsid w:val="00C4598C"/>
    <w:rsid w:val="00C4728F"/>
    <w:rsid w:val="00C54876"/>
    <w:rsid w:val="00C54EE0"/>
    <w:rsid w:val="00C55034"/>
    <w:rsid w:val="00C622D0"/>
    <w:rsid w:val="00C62701"/>
    <w:rsid w:val="00C6457A"/>
    <w:rsid w:val="00C661AC"/>
    <w:rsid w:val="00C70420"/>
    <w:rsid w:val="00C70D6D"/>
    <w:rsid w:val="00C72409"/>
    <w:rsid w:val="00C73F20"/>
    <w:rsid w:val="00C741A8"/>
    <w:rsid w:val="00C743CA"/>
    <w:rsid w:val="00C74B2A"/>
    <w:rsid w:val="00C760C7"/>
    <w:rsid w:val="00C76113"/>
    <w:rsid w:val="00C80F96"/>
    <w:rsid w:val="00C81500"/>
    <w:rsid w:val="00C85956"/>
    <w:rsid w:val="00C90D5D"/>
    <w:rsid w:val="00C91DB0"/>
    <w:rsid w:val="00C92683"/>
    <w:rsid w:val="00C93D36"/>
    <w:rsid w:val="00C95F54"/>
    <w:rsid w:val="00C971AB"/>
    <w:rsid w:val="00CA013A"/>
    <w:rsid w:val="00CA0AFC"/>
    <w:rsid w:val="00CA0F36"/>
    <w:rsid w:val="00CA1549"/>
    <w:rsid w:val="00CA2110"/>
    <w:rsid w:val="00CA2E85"/>
    <w:rsid w:val="00CA3769"/>
    <w:rsid w:val="00CA6206"/>
    <w:rsid w:val="00CA7D45"/>
    <w:rsid w:val="00CB0655"/>
    <w:rsid w:val="00CB18A9"/>
    <w:rsid w:val="00CB570B"/>
    <w:rsid w:val="00CB59A6"/>
    <w:rsid w:val="00CC097B"/>
    <w:rsid w:val="00CC0A1E"/>
    <w:rsid w:val="00CC16A7"/>
    <w:rsid w:val="00CC218A"/>
    <w:rsid w:val="00CC48EF"/>
    <w:rsid w:val="00CC623A"/>
    <w:rsid w:val="00CC64E9"/>
    <w:rsid w:val="00CD08D5"/>
    <w:rsid w:val="00CD3133"/>
    <w:rsid w:val="00CD3CC8"/>
    <w:rsid w:val="00CD5D55"/>
    <w:rsid w:val="00CD63DD"/>
    <w:rsid w:val="00CD6A9B"/>
    <w:rsid w:val="00CD6E19"/>
    <w:rsid w:val="00CE060F"/>
    <w:rsid w:val="00CE2763"/>
    <w:rsid w:val="00CE7D47"/>
    <w:rsid w:val="00CF083C"/>
    <w:rsid w:val="00CF280E"/>
    <w:rsid w:val="00CF385B"/>
    <w:rsid w:val="00CF46ED"/>
    <w:rsid w:val="00CF4C5F"/>
    <w:rsid w:val="00CF5BD4"/>
    <w:rsid w:val="00CF7205"/>
    <w:rsid w:val="00CF756C"/>
    <w:rsid w:val="00D05DA4"/>
    <w:rsid w:val="00D05F4F"/>
    <w:rsid w:val="00D064F0"/>
    <w:rsid w:val="00D13791"/>
    <w:rsid w:val="00D13A2C"/>
    <w:rsid w:val="00D15C02"/>
    <w:rsid w:val="00D1624A"/>
    <w:rsid w:val="00D1649C"/>
    <w:rsid w:val="00D20AD8"/>
    <w:rsid w:val="00D26CCA"/>
    <w:rsid w:val="00D30666"/>
    <w:rsid w:val="00D33C79"/>
    <w:rsid w:val="00D3439C"/>
    <w:rsid w:val="00D3744D"/>
    <w:rsid w:val="00D41354"/>
    <w:rsid w:val="00D446A1"/>
    <w:rsid w:val="00D44AB2"/>
    <w:rsid w:val="00D461A9"/>
    <w:rsid w:val="00D4752C"/>
    <w:rsid w:val="00D47A0D"/>
    <w:rsid w:val="00D5164C"/>
    <w:rsid w:val="00D53AF6"/>
    <w:rsid w:val="00D60018"/>
    <w:rsid w:val="00D6281B"/>
    <w:rsid w:val="00D63D24"/>
    <w:rsid w:val="00D6637C"/>
    <w:rsid w:val="00D67FC5"/>
    <w:rsid w:val="00D70095"/>
    <w:rsid w:val="00D7058B"/>
    <w:rsid w:val="00D7660F"/>
    <w:rsid w:val="00D76716"/>
    <w:rsid w:val="00D7732B"/>
    <w:rsid w:val="00D80271"/>
    <w:rsid w:val="00D80326"/>
    <w:rsid w:val="00D865DB"/>
    <w:rsid w:val="00D86FE8"/>
    <w:rsid w:val="00D87055"/>
    <w:rsid w:val="00D87F73"/>
    <w:rsid w:val="00D92FA2"/>
    <w:rsid w:val="00D935AA"/>
    <w:rsid w:val="00D96460"/>
    <w:rsid w:val="00DA4232"/>
    <w:rsid w:val="00DA6B38"/>
    <w:rsid w:val="00DA6BA4"/>
    <w:rsid w:val="00DB0288"/>
    <w:rsid w:val="00DB0A00"/>
    <w:rsid w:val="00DB377A"/>
    <w:rsid w:val="00DB4694"/>
    <w:rsid w:val="00DB67E8"/>
    <w:rsid w:val="00DC08EC"/>
    <w:rsid w:val="00DC0B3B"/>
    <w:rsid w:val="00DC2281"/>
    <w:rsid w:val="00DC35A4"/>
    <w:rsid w:val="00DC4A71"/>
    <w:rsid w:val="00DC695B"/>
    <w:rsid w:val="00DD4771"/>
    <w:rsid w:val="00DD4A06"/>
    <w:rsid w:val="00DD5AA5"/>
    <w:rsid w:val="00DD5FDB"/>
    <w:rsid w:val="00DE1069"/>
    <w:rsid w:val="00DE11B5"/>
    <w:rsid w:val="00DE1AC4"/>
    <w:rsid w:val="00DE5268"/>
    <w:rsid w:val="00DE5301"/>
    <w:rsid w:val="00DF0495"/>
    <w:rsid w:val="00DF2CCC"/>
    <w:rsid w:val="00DF2F5B"/>
    <w:rsid w:val="00DF4735"/>
    <w:rsid w:val="00DF5626"/>
    <w:rsid w:val="00DF6313"/>
    <w:rsid w:val="00E00440"/>
    <w:rsid w:val="00E0048C"/>
    <w:rsid w:val="00E007C6"/>
    <w:rsid w:val="00E0241A"/>
    <w:rsid w:val="00E02E6A"/>
    <w:rsid w:val="00E03C73"/>
    <w:rsid w:val="00E03D99"/>
    <w:rsid w:val="00E0439C"/>
    <w:rsid w:val="00E05FA1"/>
    <w:rsid w:val="00E064DC"/>
    <w:rsid w:val="00E07B6D"/>
    <w:rsid w:val="00E11270"/>
    <w:rsid w:val="00E13C63"/>
    <w:rsid w:val="00E15898"/>
    <w:rsid w:val="00E165DB"/>
    <w:rsid w:val="00E22FED"/>
    <w:rsid w:val="00E23209"/>
    <w:rsid w:val="00E2688F"/>
    <w:rsid w:val="00E26B52"/>
    <w:rsid w:val="00E3078D"/>
    <w:rsid w:val="00E30FBB"/>
    <w:rsid w:val="00E33552"/>
    <w:rsid w:val="00E40A7E"/>
    <w:rsid w:val="00E4131A"/>
    <w:rsid w:val="00E42B0D"/>
    <w:rsid w:val="00E43E63"/>
    <w:rsid w:val="00E5299E"/>
    <w:rsid w:val="00E54693"/>
    <w:rsid w:val="00E54A10"/>
    <w:rsid w:val="00E57B14"/>
    <w:rsid w:val="00E57E09"/>
    <w:rsid w:val="00E62282"/>
    <w:rsid w:val="00E71FDD"/>
    <w:rsid w:val="00E72E70"/>
    <w:rsid w:val="00E73CB8"/>
    <w:rsid w:val="00E76A69"/>
    <w:rsid w:val="00E771B6"/>
    <w:rsid w:val="00E7790D"/>
    <w:rsid w:val="00E80108"/>
    <w:rsid w:val="00E81083"/>
    <w:rsid w:val="00E83847"/>
    <w:rsid w:val="00E862C3"/>
    <w:rsid w:val="00E87D9E"/>
    <w:rsid w:val="00E9385C"/>
    <w:rsid w:val="00E94CBA"/>
    <w:rsid w:val="00E955C6"/>
    <w:rsid w:val="00E971A9"/>
    <w:rsid w:val="00E97DCD"/>
    <w:rsid w:val="00EA1230"/>
    <w:rsid w:val="00EA2077"/>
    <w:rsid w:val="00EA2EE2"/>
    <w:rsid w:val="00EA7841"/>
    <w:rsid w:val="00EB17F9"/>
    <w:rsid w:val="00EB4F38"/>
    <w:rsid w:val="00EB57BC"/>
    <w:rsid w:val="00EB5866"/>
    <w:rsid w:val="00EB6BB0"/>
    <w:rsid w:val="00EB7FCD"/>
    <w:rsid w:val="00EC2E7C"/>
    <w:rsid w:val="00EC4B8E"/>
    <w:rsid w:val="00EC5BCA"/>
    <w:rsid w:val="00EC6CB8"/>
    <w:rsid w:val="00ED130B"/>
    <w:rsid w:val="00ED3076"/>
    <w:rsid w:val="00ED442C"/>
    <w:rsid w:val="00ED5732"/>
    <w:rsid w:val="00ED5E3C"/>
    <w:rsid w:val="00EE0B6C"/>
    <w:rsid w:val="00EE0CA8"/>
    <w:rsid w:val="00EE4DCC"/>
    <w:rsid w:val="00EE5CF7"/>
    <w:rsid w:val="00EF53EE"/>
    <w:rsid w:val="00EF78FA"/>
    <w:rsid w:val="00F01FAE"/>
    <w:rsid w:val="00F02478"/>
    <w:rsid w:val="00F02EEA"/>
    <w:rsid w:val="00F040E5"/>
    <w:rsid w:val="00F10821"/>
    <w:rsid w:val="00F145A8"/>
    <w:rsid w:val="00F15895"/>
    <w:rsid w:val="00F15938"/>
    <w:rsid w:val="00F21E5D"/>
    <w:rsid w:val="00F23F53"/>
    <w:rsid w:val="00F26550"/>
    <w:rsid w:val="00F312A6"/>
    <w:rsid w:val="00F31BAD"/>
    <w:rsid w:val="00F31DCD"/>
    <w:rsid w:val="00F3200B"/>
    <w:rsid w:val="00F3306A"/>
    <w:rsid w:val="00F4069A"/>
    <w:rsid w:val="00F40CC5"/>
    <w:rsid w:val="00F4270A"/>
    <w:rsid w:val="00F43DAA"/>
    <w:rsid w:val="00F444B9"/>
    <w:rsid w:val="00F44642"/>
    <w:rsid w:val="00F50941"/>
    <w:rsid w:val="00F511C3"/>
    <w:rsid w:val="00F519FD"/>
    <w:rsid w:val="00F55E47"/>
    <w:rsid w:val="00F55E72"/>
    <w:rsid w:val="00F56FEE"/>
    <w:rsid w:val="00F57112"/>
    <w:rsid w:val="00F62806"/>
    <w:rsid w:val="00F635C0"/>
    <w:rsid w:val="00F6366D"/>
    <w:rsid w:val="00F64A52"/>
    <w:rsid w:val="00F678CB"/>
    <w:rsid w:val="00F70DE6"/>
    <w:rsid w:val="00F76632"/>
    <w:rsid w:val="00F774AC"/>
    <w:rsid w:val="00F808B0"/>
    <w:rsid w:val="00F817C6"/>
    <w:rsid w:val="00F84BAC"/>
    <w:rsid w:val="00F85141"/>
    <w:rsid w:val="00F86C7F"/>
    <w:rsid w:val="00F86E09"/>
    <w:rsid w:val="00F87536"/>
    <w:rsid w:val="00F900AD"/>
    <w:rsid w:val="00F94CF0"/>
    <w:rsid w:val="00F95F7A"/>
    <w:rsid w:val="00F961D2"/>
    <w:rsid w:val="00F96229"/>
    <w:rsid w:val="00F97891"/>
    <w:rsid w:val="00FA6CDD"/>
    <w:rsid w:val="00FB0188"/>
    <w:rsid w:val="00FC28AF"/>
    <w:rsid w:val="00FC6410"/>
    <w:rsid w:val="00FC738F"/>
    <w:rsid w:val="00FC7AF5"/>
    <w:rsid w:val="00FD4A7E"/>
    <w:rsid w:val="00FD63DC"/>
    <w:rsid w:val="00FD75B8"/>
    <w:rsid w:val="00FE06E6"/>
    <w:rsid w:val="00FE2A64"/>
    <w:rsid w:val="00FE3A09"/>
    <w:rsid w:val="00FE6DAB"/>
    <w:rsid w:val="00FF4188"/>
    <w:rsid w:val="00FF648D"/>
    <w:rsid w:val="012BEAB6"/>
    <w:rsid w:val="018C1EA5"/>
    <w:rsid w:val="019D207F"/>
    <w:rsid w:val="024798A9"/>
    <w:rsid w:val="02FAD598"/>
    <w:rsid w:val="02FB6248"/>
    <w:rsid w:val="033546EF"/>
    <w:rsid w:val="07D0296D"/>
    <w:rsid w:val="07D70444"/>
    <w:rsid w:val="07F92FD6"/>
    <w:rsid w:val="09458407"/>
    <w:rsid w:val="0966FA24"/>
    <w:rsid w:val="0991FE24"/>
    <w:rsid w:val="0AC44760"/>
    <w:rsid w:val="0AD2D694"/>
    <w:rsid w:val="0AFBD720"/>
    <w:rsid w:val="0C54CCA0"/>
    <w:rsid w:val="0DD44E34"/>
    <w:rsid w:val="0E5A8E0D"/>
    <w:rsid w:val="109B1BFF"/>
    <w:rsid w:val="123F2264"/>
    <w:rsid w:val="12CB591E"/>
    <w:rsid w:val="13467D79"/>
    <w:rsid w:val="15514F93"/>
    <w:rsid w:val="15BC82B2"/>
    <w:rsid w:val="16C717F0"/>
    <w:rsid w:val="16CD8BE4"/>
    <w:rsid w:val="170EA972"/>
    <w:rsid w:val="18707E9A"/>
    <w:rsid w:val="188F259A"/>
    <w:rsid w:val="18DBFD3B"/>
    <w:rsid w:val="198E4A49"/>
    <w:rsid w:val="1A397AF4"/>
    <w:rsid w:val="1A5C4EF0"/>
    <w:rsid w:val="1B791649"/>
    <w:rsid w:val="1BDC494A"/>
    <w:rsid w:val="1DF19311"/>
    <w:rsid w:val="1DF62EA0"/>
    <w:rsid w:val="1E3E2C29"/>
    <w:rsid w:val="1EF1D581"/>
    <w:rsid w:val="20A58577"/>
    <w:rsid w:val="23F087D1"/>
    <w:rsid w:val="24D684AF"/>
    <w:rsid w:val="26273659"/>
    <w:rsid w:val="26309063"/>
    <w:rsid w:val="26E397E2"/>
    <w:rsid w:val="2821492C"/>
    <w:rsid w:val="283269DE"/>
    <w:rsid w:val="289D16EF"/>
    <w:rsid w:val="2930AA80"/>
    <w:rsid w:val="2B3A534D"/>
    <w:rsid w:val="2CB4B532"/>
    <w:rsid w:val="2D7E2041"/>
    <w:rsid w:val="2E35D40D"/>
    <w:rsid w:val="2E79E643"/>
    <w:rsid w:val="2EDAD736"/>
    <w:rsid w:val="2FCC7FD8"/>
    <w:rsid w:val="3024A790"/>
    <w:rsid w:val="3078128D"/>
    <w:rsid w:val="32C7DA84"/>
    <w:rsid w:val="343598BD"/>
    <w:rsid w:val="347F87CD"/>
    <w:rsid w:val="349D2588"/>
    <w:rsid w:val="34BD6E61"/>
    <w:rsid w:val="35F4190B"/>
    <w:rsid w:val="3635D6D9"/>
    <w:rsid w:val="36C9BD16"/>
    <w:rsid w:val="372D6573"/>
    <w:rsid w:val="38D3FA35"/>
    <w:rsid w:val="396E483B"/>
    <w:rsid w:val="3AE69BA1"/>
    <w:rsid w:val="3B29AE50"/>
    <w:rsid w:val="3B673288"/>
    <w:rsid w:val="3C9DD12C"/>
    <w:rsid w:val="3DA6081F"/>
    <w:rsid w:val="3E73591A"/>
    <w:rsid w:val="3EEAB546"/>
    <w:rsid w:val="3F262ADD"/>
    <w:rsid w:val="3F4A9D51"/>
    <w:rsid w:val="42351C7A"/>
    <w:rsid w:val="429C94D6"/>
    <w:rsid w:val="42BC5949"/>
    <w:rsid w:val="430911C5"/>
    <w:rsid w:val="450D2D30"/>
    <w:rsid w:val="45CB572F"/>
    <w:rsid w:val="45E83C2B"/>
    <w:rsid w:val="469A920E"/>
    <w:rsid w:val="471BBFD9"/>
    <w:rsid w:val="481A42A4"/>
    <w:rsid w:val="48877747"/>
    <w:rsid w:val="499F4125"/>
    <w:rsid w:val="49A1DF34"/>
    <w:rsid w:val="49BCD713"/>
    <w:rsid w:val="4A42F884"/>
    <w:rsid w:val="4B298E4F"/>
    <w:rsid w:val="4B5D2C30"/>
    <w:rsid w:val="4B8B00D9"/>
    <w:rsid w:val="4BA78B82"/>
    <w:rsid w:val="4BF84479"/>
    <w:rsid w:val="4D7279D0"/>
    <w:rsid w:val="4FCFB830"/>
    <w:rsid w:val="50C3B167"/>
    <w:rsid w:val="510D0A10"/>
    <w:rsid w:val="52D65057"/>
    <w:rsid w:val="52DA0ACE"/>
    <w:rsid w:val="530F5723"/>
    <w:rsid w:val="53A2654A"/>
    <w:rsid w:val="556AFFE6"/>
    <w:rsid w:val="55CA74E3"/>
    <w:rsid w:val="560C3593"/>
    <w:rsid w:val="561B484F"/>
    <w:rsid w:val="57746161"/>
    <w:rsid w:val="57A0FDC9"/>
    <w:rsid w:val="58330D7D"/>
    <w:rsid w:val="5ADDFE0C"/>
    <w:rsid w:val="5B1D2FE4"/>
    <w:rsid w:val="5B6004EC"/>
    <w:rsid w:val="5DAB43BE"/>
    <w:rsid w:val="5E1505D8"/>
    <w:rsid w:val="5F2BF27E"/>
    <w:rsid w:val="5FD72FB1"/>
    <w:rsid w:val="609075BD"/>
    <w:rsid w:val="609C7785"/>
    <w:rsid w:val="61EB2E84"/>
    <w:rsid w:val="62AF041F"/>
    <w:rsid w:val="6316426E"/>
    <w:rsid w:val="6382E650"/>
    <w:rsid w:val="64621750"/>
    <w:rsid w:val="6726CE16"/>
    <w:rsid w:val="68DEFD01"/>
    <w:rsid w:val="694372EE"/>
    <w:rsid w:val="69B57DC6"/>
    <w:rsid w:val="6A32FDF6"/>
    <w:rsid w:val="6A836C80"/>
    <w:rsid w:val="6B1F7200"/>
    <w:rsid w:val="6B3945DF"/>
    <w:rsid w:val="6B91D21D"/>
    <w:rsid w:val="6BF2D682"/>
    <w:rsid w:val="6CCCD66B"/>
    <w:rsid w:val="6E9E0BEB"/>
    <w:rsid w:val="6F633FF0"/>
    <w:rsid w:val="6FC6E850"/>
    <w:rsid w:val="70D43857"/>
    <w:rsid w:val="71F9201C"/>
    <w:rsid w:val="72060DA2"/>
    <w:rsid w:val="73306FED"/>
    <w:rsid w:val="7362F056"/>
    <w:rsid w:val="73C80E5B"/>
    <w:rsid w:val="73E7BA5F"/>
    <w:rsid w:val="7491B502"/>
    <w:rsid w:val="74BC79D3"/>
    <w:rsid w:val="74D502BD"/>
    <w:rsid w:val="74F41358"/>
    <w:rsid w:val="79668786"/>
    <w:rsid w:val="7BB3DBE1"/>
    <w:rsid w:val="7C20EA3C"/>
    <w:rsid w:val="7C86D190"/>
    <w:rsid w:val="7C8B6705"/>
    <w:rsid w:val="7CD81B3A"/>
    <w:rsid w:val="7CF819F8"/>
    <w:rsid w:val="7D656268"/>
    <w:rsid w:val="7E69E185"/>
    <w:rsid w:val="7ECC80D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semiHidden="0" w:name="toc 1"/>
    <w:lsdException w:uiPriority="39" w:semiHidden="0" w:name="toc 2"/>
    <w:lsdException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semiHidden="0" w:name="annotation text"/>
    <w:lsdException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semiHidden="0" w:name="Hyperlink"/>
    <w:lsdException w:uiPriority="99" w:name="FollowedHyperlink"/>
    <w:lsdException w:unhideWhenUsed="0" w:uiPriority="22" w:semiHidden="0" w:name="Strong"/>
    <w:lsdException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160" w:line="278" w:lineRule="auto"/>
    </w:pPr>
    <w:rPr>
      <w:rFonts w:asciiTheme="minorHAnsi" w:hAnsiTheme="minorHAnsi" w:eastAsiaTheme="minorHAnsi" w:cstheme="minorBidi"/>
      <w:kern w:val="2"/>
      <w:sz w:val="22"/>
      <w:szCs w:val="24"/>
      <w:lang w:val="en-GB" w:eastAsia="en-US" w:bidi="ar-SA"/>
      <w14:ligatures w14:val="standardContextual"/>
    </w:rPr>
  </w:style>
  <w:style w:type="paragraph" w:styleId="2">
    <w:name w:val="heading 1"/>
    <w:basedOn w:val="1"/>
    <w:next w:val="1"/>
    <w:link w:val="31"/>
    <w:qFormat/>
    <w:uiPriority w:val="9"/>
    <w:pPr>
      <w:keepNext/>
      <w:keepLines/>
      <w:numPr>
        <w:ilvl w:val="0"/>
        <w:numId w:val="1"/>
      </w:numPr>
      <w:spacing w:before="360" w:after="80"/>
      <w:outlineLvl w:val="0"/>
    </w:pPr>
    <w:rPr>
      <w:rFonts w:asciiTheme="majorHAnsi" w:hAnsiTheme="majorHAnsi" w:eastAsiaTheme="majorEastAsia" w:cstheme="majorBidi"/>
      <w:b/>
      <w:color w:val="F15E24" w:themeColor="accent6"/>
      <w:sz w:val="40"/>
      <w:szCs w:val="40"/>
      <w14:textFill>
        <w14:solidFill>
          <w14:schemeClr w14:val="accent6"/>
        </w14:solidFill>
      </w14:textFill>
    </w:rPr>
  </w:style>
  <w:style w:type="paragraph" w:styleId="3">
    <w:name w:val="heading 2"/>
    <w:basedOn w:val="1"/>
    <w:next w:val="1"/>
    <w:link w:val="32"/>
    <w:unhideWhenUsed/>
    <w:qFormat/>
    <w:uiPriority w:val="9"/>
    <w:pPr>
      <w:keepNext/>
      <w:keepLines/>
      <w:numPr>
        <w:ilvl w:val="1"/>
        <w:numId w:val="1"/>
      </w:numPr>
      <w:spacing w:before="160" w:after="80"/>
      <w:outlineLvl w:val="1"/>
    </w:pPr>
    <w:rPr>
      <w:rFonts w:asciiTheme="majorHAnsi" w:hAnsiTheme="majorHAnsi" w:eastAsiaTheme="majorEastAsia" w:cstheme="majorBidi"/>
      <w:b/>
      <w:color w:val="F15E24" w:themeColor="accent6"/>
      <w:sz w:val="32"/>
      <w:szCs w:val="32"/>
      <w14:textFill>
        <w14:solidFill>
          <w14:schemeClr w14:val="accent6"/>
        </w14:solidFill>
      </w14:textFill>
    </w:rPr>
  </w:style>
  <w:style w:type="paragraph" w:styleId="4">
    <w:name w:val="heading 3"/>
    <w:basedOn w:val="1"/>
    <w:next w:val="1"/>
    <w:link w:val="33"/>
    <w:unhideWhenUsed/>
    <w:qFormat/>
    <w:uiPriority w:val="9"/>
    <w:pPr>
      <w:keepNext/>
      <w:keepLines/>
      <w:numPr>
        <w:ilvl w:val="2"/>
        <w:numId w:val="1"/>
      </w:numPr>
      <w:spacing w:before="160" w:after="80"/>
      <w:outlineLvl w:val="2"/>
    </w:pPr>
    <w:rPr>
      <w:rFonts w:eastAsiaTheme="majorEastAsia" w:cstheme="majorBidi"/>
      <w:color w:val="F15E24" w:themeColor="accent6"/>
      <w:sz w:val="28"/>
      <w:szCs w:val="28"/>
      <w14:textFill>
        <w14:solidFill>
          <w14:schemeClr w14:val="accent6"/>
        </w14:solidFill>
      </w14:textFill>
    </w:rPr>
  </w:style>
  <w:style w:type="paragraph" w:styleId="5">
    <w:name w:val="heading 4"/>
    <w:basedOn w:val="1"/>
    <w:next w:val="1"/>
    <w:link w:val="34"/>
    <w:unhideWhenUsed/>
    <w:qFormat/>
    <w:uiPriority w:val="9"/>
    <w:pPr>
      <w:keepNext/>
      <w:keepLines/>
      <w:spacing w:before="80" w:after="40"/>
      <w:outlineLvl w:val="3"/>
    </w:pPr>
    <w:rPr>
      <w:rFonts w:eastAsiaTheme="majorEastAsia" w:cstheme="majorBidi"/>
      <w:i/>
      <w:iCs/>
      <w:color w:val="104862" w:themeColor="accent1" w:themeShade="BF"/>
    </w:rPr>
  </w:style>
  <w:style w:type="paragraph" w:styleId="6">
    <w:name w:val="heading 5"/>
    <w:basedOn w:val="1"/>
    <w:next w:val="1"/>
    <w:link w:val="35"/>
    <w:semiHidden/>
    <w:unhideWhenUsed/>
    <w:qFormat/>
    <w:uiPriority w:val="9"/>
    <w:pPr>
      <w:keepNext/>
      <w:keepLines/>
      <w:spacing w:before="80" w:after="40"/>
      <w:outlineLvl w:val="4"/>
    </w:pPr>
    <w:rPr>
      <w:rFonts w:eastAsiaTheme="majorEastAsia" w:cstheme="majorBidi"/>
      <w:color w:val="104862" w:themeColor="accent1" w:themeShade="BF"/>
    </w:rPr>
  </w:style>
  <w:style w:type="paragraph" w:styleId="7">
    <w:name w:val="heading 6"/>
    <w:basedOn w:val="1"/>
    <w:next w:val="1"/>
    <w:link w:val="36"/>
    <w:semiHidden/>
    <w:unhideWhenUsed/>
    <w:qFormat/>
    <w:uiPriority w:val="9"/>
    <w:pPr>
      <w:keepNext/>
      <w:keepLines/>
      <w:spacing w:before="40" w:after="0"/>
      <w:outlineLvl w:val="5"/>
    </w:pPr>
    <w:rPr>
      <w:rFonts w:eastAsiaTheme="majorEastAsia" w:cstheme="majorBidi"/>
      <w:i/>
      <w:iCs/>
      <w:color w:val="595959" w:themeColor="text1" w:themeTint="A6"/>
      <w14:textFill>
        <w14:solidFill>
          <w14:schemeClr w14:val="tx1">
            <w14:lumMod w14:val="65000"/>
            <w14:lumOff w14:val="35000"/>
          </w14:schemeClr>
        </w14:solidFill>
      </w14:textFill>
    </w:rPr>
  </w:style>
  <w:style w:type="paragraph" w:styleId="8">
    <w:name w:val="heading 7"/>
    <w:basedOn w:val="1"/>
    <w:next w:val="1"/>
    <w:link w:val="37"/>
    <w:semiHidden/>
    <w:unhideWhenUsed/>
    <w:qFormat/>
    <w:uiPriority w:val="9"/>
    <w:pPr>
      <w:keepNext/>
      <w:keepLines/>
      <w:spacing w:before="40" w:after="0"/>
      <w:outlineLvl w:val="6"/>
    </w:pPr>
    <w:rPr>
      <w:rFonts w:eastAsiaTheme="majorEastAsia" w:cstheme="majorBidi"/>
      <w:color w:val="595959" w:themeColor="text1" w:themeTint="A6"/>
      <w14:textFill>
        <w14:solidFill>
          <w14:schemeClr w14:val="tx1">
            <w14:lumMod w14:val="65000"/>
            <w14:lumOff w14:val="35000"/>
          </w14:schemeClr>
        </w14:solidFill>
      </w14:textFill>
    </w:rPr>
  </w:style>
  <w:style w:type="paragraph" w:styleId="9">
    <w:name w:val="heading 8"/>
    <w:basedOn w:val="1"/>
    <w:next w:val="1"/>
    <w:link w:val="38"/>
    <w:semiHidden/>
    <w:unhideWhenUsed/>
    <w:qFormat/>
    <w:uiPriority w:val="9"/>
    <w:pPr>
      <w:keepNext/>
      <w:keepLines/>
      <w:spacing w:after="0"/>
      <w:outlineLvl w:val="7"/>
    </w:pPr>
    <w:rPr>
      <w:rFonts w:eastAsiaTheme="majorEastAsia" w:cstheme="majorBidi"/>
      <w:i/>
      <w:iCs/>
      <w:color w:val="262626" w:themeColor="text1" w:themeTint="D9"/>
      <w14:textFill>
        <w14:solidFill>
          <w14:schemeClr w14:val="tx1">
            <w14:lumMod w14:val="85000"/>
            <w14:lumOff w14:val="15000"/>
          </w14:schemeClr>
        </w14:solidFill>
      </w14:textFill>
    </w:rPr>
  </w:style>
  <w:style w:type="paragraph" w:styleId="10">
    <w:name w:val="heading 9"/>
    <w:basedOn w:val="1"/>
    <w:next w:val="1"/>
    <w:link w:val="39"/>
    <w:semiHidden/>
    <w:unhideWhenUsed/>
    <w:qFormat/>
    <w:uiPriority w:val="9"/>
    <w:pPr>
      <w:keepNext/>
      <w:keepLines/>
      <w:spacing w:after="0"/>
      <w:outlineLvl w:val="8"/>
    </w:pPr>
    <w:rPr>
      <w:rFonts w:eastAsiaTheme="majorEastAsia" w:cstheme="majorBidi"/>
      <w:color w:val="262626" w:themeColor="text1" w:themeTint="D9"/>
      <w14:textFill>
        <w14:solidFill>
          <w14:schemeClr w14:val="tx1">
            <w14:lumMod w14:val="85000"/>
            <w14:lumOff w14:val="15000"/>
          </w14:schemeClr>
        </w14:solidFill>
      </w14:textFill>
    </w:rPr>
  </w:style>
  <w:style w:type="character" w:default="1" w:styleId="11">
    <w:name w:val="Default Paragraph Font"/>
    <w:semiHidden/>
    <w:unhideWhenUsed/>
    <w:qFormat/>
    <w:uiPriority w:val="1"/>
  </w:style>
  <w:style w:type="table" w:default="1" w:styleId="12">
    <w:name w:val="Normal Table"/>
    <w:semiHidden/>
    <w:unhideWhenUsed/>
    <w:qFormat/>
    <w:uiPriority w:val="99"/>
    <w:tblPr>
      <w:tblCellMar>
        <w:top w:w="0" w:type="dxa"/>
        <w:left w:w="108" w:type="dxa"/>
        <w:bottom w:w="0" w:type="dxa"/>
        <w:right w:w="108" w:type="dxa"/>
      </w:tblCellMar>
    </w:tblPr>
  </w:style>
  <w:style w:type="character" w:styleId="13">
    <w:name w:val="annotation reference"/>
    <w:basedOn w:val="11"/>
    <w:semiHidden/>
    <w:unhideWhenUsed/>
    <w:uiPriority w:val="99"/>
    <w:rPr>
      <w:sz w:val="16"/>
      <w:szCs w:val="16"/>
    </w:rPr>
  </w:style>
  <w:style w:type="paragraph" w:styleId="14">
    <w:name w:val="annotation text"/>
    <w:basedOn w:val="1"/>
    <w:link w:val="52"/>
    <w:unhideWhenUsed/>
    <w:uiPriority w:val="99"/>
    <w:pPr>
      <w:spacing w:line="240" w:lineRule="auto"/>
    </w:pPr>
    <w:rPr>
      <w:sz w:val="20"/>
      <w:szCs w:val="20"/>
    </w:rPr>
  </w:style>
  <w:style w:type="paragraph" w:styleId="15">
    <w:name w:val="annotation subject"/>
    <w:basedOn w:val="14"/>
    <w:next w:val="14"/>
    <w:link w:val="53"/>
    <w:semiHidden/>
    <w:unhideWhenUsed/>
    <w:uiPriority w:val="99"/>
    <w:rPr>
      <w:b/>
      <w:bCs/>
    </w:rPr>
  </w:style>
  <w:style w:type="character" w:styleId="16">
    <w:name w:val="endnote reference"/>
    <w:basedOn w:val="11"/>
    <w:semiHidden/>
    <w:unhideWhenUsed/>
    <w:uiPriority w:val="99"/>
    <w:rPr>
      <w:vertAlign w:val="superscript"/>
    </w:rPr>
  </w:style>
  <w:style w:type="paragraph" w:styleId="17">
    <w:name w:val="endnote text"/>
    <w:basedOn w:val="1"/>
    <w:link w:val="50"/>
    <w:semiHidden/>
    <w:unhideWhenUsed/>
    <w:uiPriority w:val="99"/>
    <w:pPr>
      <w:spacing w:after="0" w:line="240" w:lineRule="auto"/>
    </w:pPr>
    <w:rPr>
      <w:sz w:val="20"/>
      <w:szCs w:val="20"/>
    </w:rPr>
  </w:style>
  <w:style w:type="character" w:styleId="18">
    <w:name w:val="FollowedHyperlink"/>
    <w:basedOn w:val="11"/>
    <w:semiHidden/>
    <w:unhideWhenUsed/>
    <w:uiPriority w:val="99"/>
    <w:rPr>
      <w:color w:val="96607D" w:themeColor="followedHyperlink"/>
      <w:u w:val="single"/>
      <w14:textFill>
        <w14:solidFill>
          <w14:schemeClr w14:val="folHlink"/>
        </w14:solidFill>
      </w14:textFill>
    </w:rPr>
  </w:style>
  <w:style w:type="paragraph" w:styleId="19">
    <w:name w:val="footer"/>
    <w:basedOn w:val="1"/>
    <w:link w:val="55"/>
    <w:unhideWhenUsed/>
    <w:uiPriority w:val="99"/>
    <w:pPr>
      <w:tabs>
        <w:tab w:val="center" w:pos="4680"/>
        <w:tab w:val="right" w:pos="9360"/>
      </w:tabs>
      <w:spacing w:after="0" w:line="240" w:lineRule="auto"/>
    </w:pPr>
  </w:style>
  <w:style w:type="character" w:styleId="20">
    <w:name w:val="footnote reference"/>
    <w:basedOn w:val="11"/>
    <w:semiHidden/>
    <w:unhideWhenUsed/>
    <w:uiPriority w:val="99"/>
    <w:rPr>
      <w:vertAlign w:val="superscript"/>
    </w:rPr>
  </w:style>
  <w:style w:type="paragraph" w:styleId="21">
    <w:name w:val="footnote text"/>
    <w:basedOn w:val="1"/>
    <w:link w:val="49"/>
    <w:semiHidden/>
    <w:unhideWhenUsed/>
    <w:uiPriority w:val="99"/>
    <w:pPr>
      <w:spacing w:after="0" w:line="240" w:lineRule="auto"/>
    </w:pPr>
    <w:rPr>
      <w:sz w:val="20"/>
      <w:szCs w:val="20"/>
    </w:rPr>
  </w:style>
  <w:style w:type="paragraph" w:styleId="22">
    <w:name w:val="header"/>
    <w:basedOn w:val="1"/>
    <w:link w:val="54"/>
    <w:unhideWhenUsed/>
    <w:uiPriority w:val="99"/>
    <w:pPr>
      <w:tabs>
        <w:tab w:val="center" w:pos="4680"/>
        <w:tab w:val="right" w:pos="9360"/>
      </w:tabs>
      <w:spacing w:after="0" w:line="240" w:lineRule="auto"/>
    </w:pPr>
  </w:style>
  <w:style w:type="character" w:styleId="23">
    <w:name w:val="Hyperlink"/>
    <w:basedOn w:val="11"/>
    <w:unhideWhenUsed/>
    <w:uiPriority w:val="99"/>
    <w:rPr>
      <w:color w:val="467886" w:themeColor="hyperlink"/>
      <w:u w:val="single"/>
      <w14:textFill>
        <w14:solidFill>
          <w14:schemeClr w14:val="hlink"/>
        </w14:solidFill>
      </w14:textFill>
    </w:rPr>
  </w:style>
  <w:style w:type="paragraph" w:styleId="24">
    <w:name w:val="Normal (Web)"/>
    <w:basedOn w:val="1"/>
    <w:semiHidden/>
    <w:unhideWhenUsed/>
    <w:uiPriority w:val="99"/>
    <w:pPr>
      <w:spacing w:before="100" w:beforeAutospacing="1" w:after="100" w:afterAutospacing="1" w:line="240" w:lineRule="auto"/>
    </w:pPr>
    <w:rPr>
      <w:rFonts w:ascii="Times New Roman" w:hAnsi="Times New Roman" w:eastAsia="Times New Roman" w:cs="Times New Roman"/>
      <w:kern w:val="0"/>
      <w:lang w:eastAsia="en-GB"/>
      <w14:ligatures w14:val="none"/>
    </w:rPr>
  </w:style>
  <w:style w:type="paragraph" w:styleId="25">
    <w:name w:val="Subtitle"/>
    <w:basedOn w:val="1"/>
    <w:next w:val="1"/>
    <w:link w:val="41"/>
    <w:uiPriority w:val="11"/>
    <w:rPr>
      <w:rFonts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table" w:styleId="26">
    <w:name w:val="Table Grid"/>
    <w:basedOn w:val="12"/>
    <w:uiPriority w:val="3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27">
    <w:name w:val="Title"/>
    <w:basedOn w:val="1"/>
    <w:next w:val="1"/>
    <w:link w:val="40"/>
    <w:uiPriority w:val="10"/>
    <w:pPr>
      <w:spacing w:after="80" w:line="240" w:lineRule="auto"/>
      <w:contextualSpacing/>
    </w:pPr>
    <w:rPr>
      <w:rFonts w:asciiTheme="majorHAnsi" w:hAnsiTheme="majorHAnsi" w:eastAsiaTheme="majorEastAsia" w:cstheme="majorBidi"/>
      <w:spacing w:val="-10"/>
      <w:kern w:val="28"/>
      <w:sz w:val="56"/>
      <w:szCs w:val="56"/>
    </w:rPr>
  </w:style>
  <w:style w:type="paragraph" w:styleId="28">
    <w:name w:val="toc 1"/>
    <w:basedOn w:val="1"/>
    <w:next w:val="1"/>
    <w:autoRedefine/>
    <w:unhideWhenUsed/>
    <w:uiPriority w:val="39"/>
    <w:pPr>
      <w:spacing w:after="100"/>
    </w:pPr>
  </w:style>
  <w:style w:type="paragraph" w:styleId="29">
    <w:name w:val="toc 2"/>
    <w:basedOn w:val="1"/>
    <w:next w:val="1"/>
    <w:autoRedefine/>
    <w:unhideWhenUsed/>
    <w:uiPriority w:val="39"/>
    <w:pPr>
      <w:spacing w:after="100"/>
      <w:ind w:left="240"/>
    </w:pPr>
  </w:style>
  <w:style w:type="paragraph" w:styleId="30">
    <w:name w:val="toc 3"/>
    <w:basedOn w:val="1"/>
    <w:next w:val="1"/>
    <w:autoRedefine/>
    <w:unhideWhenUsed/>
    <w:uiPriority w:val="39"/>
    <w:pPr>
      <w:spacing w:after="100"/>
      <w:ind w:left="480"/>
    </w:pPr>
  </w:style>
  <w:style w:type="character" w:customStyle="1" w:styleId="31">
    <w:name w:val="Heading 1 Char"/>
    <w:basedOn w:val="11"/>
    <w:link w:val="2"/>
    <w:qFormat/>
    <w:uiPriority w:val="9"/>
    <w:rPr>
      <w:rFonts w:asciiTheme="majorHAnsi" w:hAnsiTheme="majorHAnsi" w:eastAsiaTheme="majorEastAsia" w:cstheme="majorBidi"/>
      <w:b/>
      <w:color w:val="F15E24" w:themeColor="accent6"/>
      <w:sz w:val="40"/>
      <w:szCs w:val="40"/>
      <w14:textFill>
        <w14:solidFill>
          <w14:schemeClr w14:val="accent6"/>
        </w14:solidFill>
      </w14:textFill>
    </w:rPr>
  </w:style>
  <w:style w:type="character" w:customStyle="1" w:styleId="32">
    <w:name w:val="Heading 2 Char"/>
    <w:basedOn w:val="11"/>
    <w:link w:val="3"/>
    <w:qFormat/>
    <w:uiPriority w:val="9"/>
    <w:rPr>
      <w:rFonts w:asciiTheme="majorHAnsi" w:hAnsiTheme="majorHAnsi" w:eastAsiaTheme="majorEastAsia" w:cstheme="majorBidi"/>
      <w:b/>
      <w:color w:val="F15E24" w:themeColor="accent6"/>
      <w:sz w:val="32"/>
      <w:szCs w:val="32"/>
      <w14:textFill>
        <w14:solidFill>
          <w14:schemeClr w14:val="accent6"/>
        </w14:solidFill>
      </w14:textFill>
    </w:rPr>
  </w:style>
  <w:style w:type="character" w:customStyle="1" w:styleId="33">
    <w:name w:val="Heading 3 Char"/>
    <w:basedOn w:val="11"/>
    <w:link w:val="4"/>
    <w:qFormat/>
    <w:uiPriority w:val="9"/>
    <w:rPr>
      <w:rFonts w:eastAsiaTheme="majorEastAsia" w:cstheme="majorBidi"/>
      <w:color w:val="F15E24" w:themeColor="accent6"/>
      <w:sz w:val="28"/>
      <w:szCs w:val="28"/>
      <w14:textFill>
        <w14:solidFill>
          <w14:schemeClr w14:val="accent6"/>
        </w14:solidFill>
      </w14:textFill>
    </w:rPr>
  </w:style>
  <w:style w:type="character" w:customStyle="1" w:styleId="34">
    <w:name w:val="Heading 4 Char"/>
    <w:basedOn w:val="11"/>
    <w:link w:val="5"/>
    <w:qFormat/>
    <w:uiPriority w:val="9"/>
    <w:rPr>
      <w:rFonts w:eastAsiaTheme="majorEastAsia" w:cstheme="majorBidi"/>
      <w:i/>
      <w:iCs/>
      <w:color w:val="104862" w:themeColor="accent1" w:themeShade="BF"/>
    </w:rPr>
  </w:style>
  <w:style w:type="character" w:customStyle="1" w:styleId="35">
    <w:name w:val="Heading 5 Char"/>
    <w:basedOn w:val="11"/>
    <w:link w:val="6"/>
    <w:semiHidden/>
    <w:qFormat/>
    <w:uiPriority w:val="9"/>
    <w:rPr>
      <w:rFonts w:eastAsiaTheme="majorEastAsia" w:cstheme="majorBidi"/>
      <w:color w:val="104862" w:themeColor="accent1" w:themeShade="BF"/>
    </w:rPr>
  </w:style>
  <w:style w:type="character" w:customStyle="1" w:styleId="36">
    <w:name w:val="Heading 6 Char"/>
    <w:basedOn w:val="11"/>
    <w:link w:val="7"/>
    <w:semiHidden/>
    <w:qFormat/>
    <w:uiPriority w:val="9"/>
    <w:rPr>
      <w:rFonts w:eastAsiaTheme="majorEastAsia" w:cstheme="majorBidi"/>
      <w:i/>
      <w:iCs/>
      <w:color w:val="595959" w:themeColor="text1" w:themeTint="A6"/>
      <w14:textFill>
        <w14:solidFill>
          <w14:schemeClr w14:val="tx1">
            <w14:lumMod w14:val="65000"/>
            <w14:lumOff w14:val="35000"/>
          </w14:schemeClr>
        </w14:solidFill>
      </w14:textFill>
    </w:rPr>
  </w:style>
  <w:style w:type="character" w:customStyle="1" w:styleId="37">
    <w:name w:val="Heading 7 Char"/>
    <w:basedOn w:val="11"/>
    <w:link w:val="8"/>
    <w:semiHidden/>
    <w:qFormat/>
    <w:uiPriority w:val="9"/>
    <w:rPr>
      <w:rFonts w:eastAsiaTheme="majorEastAsia" w:cstheme="majorBidi"/>
      <w:color w:val="595959" w:themeColor="text1" w:themeTint="A6"/>
      <w14:textFill>
        <w14:solidFill>
          <w14:schemeClr w14:val="tx1">
            <w14:lumMod w14:val="65000"/>
            <w14:lumOff w14:val="35000"/>
          </w14:schemeClr>
        </w14:solidFill>
      </w14:textFill>
    </w:rPr>
  </w:style>
  <w:style w:type="character" w:customStyle="1" w:styleId="38">
    <w:name w:val="Heading 8 Char"/>
    <w:basedOn w:val="11"/>
    <w:link w:val="9"/>
    <w:semiHidden/>
    <w:qFormat/>
    <w:uiPriority w:val="9"/>
    <w:rPr>
      <w:rFonts w:eastAsiaTheme="majorEastAsia" w:cstheme="majorBidi"/>
      <w:i/>
      <w:iCs/>
      <w:color w:val="262626" w:themeColor="text1" w:themeTint="D9"/>
      <w14:textFill>
        <w14:solidFill>
          <w14:schemeClr w14:val="tx1">
            <w14:lumMod w14:val="85000"/>
            <w14:lumOff w14:val="15000"/>
          </w14:schemeClr>
        </w14:solidFill>
      </w14:textFill>
    </w:rPr>
  </w:style>
  <w:style w:type="character" w:customStyle="1" w:styleId="39">
    <w:name w:val="Heading 9 Char"/>
    <w:basedOn w:val="11"/>
    <w:link w:val="10"/>
    <w:semiHidden/>
    <w:qFormat/>
    <w:uiPriority w:val="9"/>
    <w:rPr>
      <w:rFonts w:eastAsiaTheme="majorEastAsia" w:cstheme="majorBidi"/>
      <w:color w:val="262626" w:themeColor="text1" w:themeTint="D9"/>
      <w14:textFill>
        <w14:solidFill>
          <w14:schemeClr w14:val="tx1">
            <w14:lumMod w14:val="85000"/>
            <w14:lumOff w14:val="15000"/>
          </w14:schemeClr>
        </w14:solidFill>
      </w14:textFill>
    </w:rPr>
  </w:style>
  <w:style w:type="character" w:customStyle="1" w:styleId="40">
    <w:name w:val="Title Char"/>
    <w:basedOn w:val="11"/>
    <w:link w:val="27"/>
    <w:uiPriority w:val="10"/>
    <w:rPr>
      <w:rFonts w:asciiTheme="majorHAnsi" w:hAnsiTheme="majorHAnsi" w:eastAsiaTheme="majorEastAsia" w:cstheme="majorBidi"/>
      <w:spacing w:val="-10"/>
      <w:kern w:val="28"/>
      <w:sz w:val="56"/>
      <w:szCs w:val="56"/>
    </w:rPr>
  </w:style>
  <w:style w:type="character" w:customStyle="1" w:styleId="41">
    <w:name w:val="Subtitle Char"/>
    <w:basedOn w:val="11"/>
    <w:link w:val="25"/>
    <w:uiPriority w:val="11"/>
    <w:rPr>
      <w:rFonts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styleId="42">
    <w:name w:val="Quote"/>
    <w:basedOn w:val="1"/>
    <w:next w:val="1"/>
    <w:link w:val="43"/>
    <w:uiPriority w:val="29"/>
    <w:pPr>
      <w:spacing w:before="160"/>
      <w:jc w:val="center"/>
    </w:pPr>
    <w:rPr>
      <w:i/>
      <w:iCs/>
      <w:color w:val="404040" w:themeColor="text1" w:themeTint="BF"/>
      <w14:textFill>
        <w14:solidFill>
          <w14:schemeClr w14:val="tx1">
            <w14:lumMod w14:val="75000"/>
            <w14:lumOff w14:val="25000"/>
          </w14:schemeClr>
        </w14:solidFill>
      </w14:textFill>
    </w:rPr>
  </w:style>
  <w:style w:type="character" w:customStyle="1" w:styleId="43">
    <w:name w:val="Quote Char"/>
    <w:basedOn w:val="11"/>
    <w:link w:val="42"/>
    <w:uiPriority w:val="29"/>
    <w:rPr>
      <w:i/>
      <w:iCs/>
      <w:color w:val="404040" w:themeColor="text1" w:themeTint="BF"/>
      <w14:textFill>
        <w14:solidFill>
          <w14:schemeClr w14:val="tx1">
            <w14:lumMod w14:val="75000"/>
            <w14:lumOff w14:val="25000"/>
          </w14:schemeClr>
        </w14:solidFill>
      </w14:textFill>
    </w:rPr>
  </w:style>
  <w:style w:type="paragraph" w:styleId="44">
    <w:name w:val="List Paragraph"/>
    <w:basedOn w:val="1"/>
    <w:qFormat/>
    <w:uiPriority w:val="34"/>
    <w:pPr>
      <w:ind w:left="720"/>
      <w:contextualSpacing/>
    </w:pPr>
  </w:style>
  <w:style w:type="character" w:customStyle="1" w:styleId="45">
    <w:name w:val="Intense Emphasis"/>
    <w:basedOn w:val="11"/>
    <w:uiPriority w:val="21"/>
    <w:rPr>
      <w:i/>
      <w:iCs/>
      <w:color w:val="104862" w:themeColor="accent1" w:themeShade="BF"/>
    </w:rPr>
  </w:style>
  <w:style w:type="paragraph" w:styleId="46">
    <w:name w:val="Intense Quote"/>
    <w:basedOn w:val="1"/>
    <w:next w:val="1"/>
    <w:link w:val="47"/>
    <w:qFormat/>
    <w:uiPriority w:val="30"/>
    <w:pPr>
      <w:pBdr>
        <w:top w:val="single" w:color="0F4761" w:themeColor="accent1" w:themeShade="BF" w:sz="4" w:space="10"/>
        <w:bottom w:val="single" w:color="0F4761" w:themeColor="accent1" w:themeShade="BF" w:sz="4" w:space="10"/>
      </w:pBdr>
      <w:spacing w:before="360" w:after="360"/>
      <w:ind w:left="864" w:right="864"/>
      <w:jc w:val="center"/>
    </w:pPr>
    <w:rPr>
      <w:i/>
      <w:iCs/>
      <w:color w:val="104862" w:themeColor="accent1" w:themeShade="BF"/>
    </w:rPr>
  </w:style>
  <w:style w:type="character" w:customStyle="1" w:styleId="47">
    <w:name w:val="Intense Quote Char"/>
    <w:basedOn w:val="11"/>
    <w:link w:val="46"/>
    <w:uiPriority w:val="30"/>
    <w:rPr>
      <w:i/>
      <w:iCs/>
      <w:color w:val="104862" w:themeColor="accent1" w:themeShade="BF"/>
    </w:rPr>
  </w:style>
  <w:style w:type="character" w:customStyle="1" w:styleId="48">
    <w:name w:val="Intense Reference"/>
    <w:basedOn w:val="11"/>
    <w:uiPriority w:val="32"/>
    <w:rPr>
      <w:b/>
      <w:bCs/>
      <w:smallCaps/>
      <w:color w:val="104862" w:themeColor="accent1" w:themeShade="BF"/>
      <w:spacing w:val="5"/>
    </w:rPr>
  </w:style>
  <w:style w:type="character" w:customStyle="1" w:styleId="49">
    <w:name w:val="Footnote Text Char"/>
    <w:basedOn w:val="11"/>
    <w:link w:val="21"/>
    <w:semiHidden/>
    <w:uiPriority w:val="99"/>
    <w:rPr>
      <w:sz w:val="20"/>
      <w:szCs w:val="20"/>
    </w:rPr>
  </w:style>
  <w:style w:type="character" w:customStyle="1" w:styleId="50">
    <w:name w:val="Endnote Text Char"/>
    <w:basedOn w:val="11"/>
    <w:link w:val="17"/>
    <w:semiHidden/>
    <w:uiPriority w:val="99"/>
    <w:rPr>
      <w:sz w:val="20"/>
      <w:szCs w:val="20"/>
    </w:rPr>
  </w:style>
  <w:style w:type="character" w:customStyle="1" w:styleId="51">
    <w:name w:val="Unresolved Mention"/>
    <w:basedOn w:val="11"/>
    <w:semiHidden/>
    <w:unhideWhenUsed/>
    <w:uiPriority w:val="99"/>
    <w:rPr>
      <w:color w:val="605E5C"/>
      <w:shd w:val="clear" w:color="auto" w:fill="E1DFDD"/>
    </w:rPr>
  </w:style>
  <w:style w:type="character" w:customStyle="1" w:styleId="52">
    <w:name w:val="Comment Text Char"/>
    <w:basedOn w:val="11"/>
    <w:link w:val="14"/>
    <w:uiPriority w:val="99"/>
    <w:rPr>
      <w:sz w:val="20"/>
      <w:szCs w:val="20"/>
    </w:rPr>
  </w:style>
  <w:style w:type="character" w:customStyle="1" w:styleId="53">
    <w:name w:val="Comment Subject Char"/>
    <w:basedOn w:val="52"/>
    <w:link w:val="15"/>
    <w:semiHidden/>
    <w:uiPriority w:val="99"/>
    <w:rPr>
      <w:b/>
      <w:bCs/>
      <w:sz w:val="20"/>
      <w:szCs w:val="20"/>
    </w:rPr>
  </w:style>
  <w:style w:type="character" w:customStyle="1" w:styleId="54">
    <w:name w:val="Header Char"/>
    <w:basedOn w:val="11"/>
    <w:link w:val="22"/>
    <w:uiPriority w:val="99"/>
  </w:style>
  <w:style w:type="character" w:customStyle="1" w:styleId="55">
    <w:name w:val="Footer Char"/>
    <w:basedOn w:val="11"/>
    <w:link w:val="19"/>
    <w:uiPriority w:val="99"/>
  </w:style>
  <w:style w:type="paragraph" w:customStyle="1" w:styleId="56">
    <w:name w:val="TOC Heading"/>
    <w:basedOn w:val="2"/>
    <w:next w:val="1"/>
    <w:unhideWhenUsed/>
    <w:uiPriority w:val="39"/>
    <w:pPr>
      <w:spacing w:before="240" w:after="0" w:line="259" w:lineRule="auto"/>
      <w:outlineLvl w:val="9"/>
    </w:pPr>
    <w:rPr>
      <w:kern w:val="0"/>
      <w:sz w:val="32"/>
      <w:szCs w:val="32"/>
      <w14:ligatures w14:val="none"/>
    </w:rPr>
  </w:style>
  <w:style w:type="paragraph" w:customStyle="1" w:styleId="57">
    <w:name w:val="Revision"/>
    <w:hidden/>
    <w:semiHidden/>
    <w:uiPriority w:val="99"/>
    <w:pPr>
      <w:spacing w:after="0" w:line="240" w:lineRule="auto"/>
    </w:pPr>
    <w:rPr>
      <w:rFonts w:asciiTheme="minorHAnsi" w:hAnsiTheme="minorHAnsi" w:eastAsiaTheme="minorHAnsi" w:cstheme="minorBidi"/>
      <w:kern w:val="2"/>
      <w:sz w:val="24"/>
      <w:szCs w:val="24"/>
      <w:lang w:val="en-US" w:eastAsia="en-US" w:bidi="ar-SA"/>
      <w14:ligatures w14:val="standardContextual"/>
    </w:rPr>
  </w:style>
  <w:style w:type="character" w:customStyle="1" w:styleId="58">
    <w:name w:val="Subtle Reference"/>
    <w:basedOn w:val="11"/>
    <w:uiPriority w:val="31"/>
    <w:rPr>
      <w:smallCaps/>
      <w:color w:val="595959" w:themeColor="text1" w:themeTint="A6"/>
      <w14:textFill>
        <w14:solidFill>
          <w14:schemeClr w14:val="tx1">
            <w14:lumMod w14:val="65000"/>
            <w14:lumOff w14:val="35000"/>
          </w14:schemeClr>
        </w14:solidFill>
      </w14:textFill>
    </w:rPr>
  </w:style>
  <w:style w:type="paragraph" w:customStyle="1" w:styleId="59">
    <w:name w:val="Default"/>
    <w:uiPriority w:val="0"/>
    <w:pPr>
      <w:autoSpaceDE w:val="0"/>
      <w:autoSpaceDN w:val="0"/>
      <w:adjustRightInd w:val="0"/>
      <w:spacing w:after="0" w:line="240" w:lineRule="auto"/>
    </w:pPr>
    <w:rPr>
      <w:rFonts w:ascii="Aptos" w:hAnsi="Aptos" w:cs="Aptos" w:eastAsiaTheme="minorHAnsi"/>
      <w:color w:val="000000"/>
      <w:kern w:val="0"/>
      <w:sz w:val="24"/>
      <w:szCs w:val="24"/>
      <w:lang w:val="en-US" w:eastAsia="en-US" w:bidi="ar-SA"/>
      <w14:ligatures w14:val="standardContextual"/>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image" Target="media/image2.png"/><Relationship Id="rId7" Type="http://schemas.openxmlformats.org/officeDocument/2006/relationships/image" Target="media/image1.jpeg"/><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customXml" Target="../customXml/item5.xml"/><Relationship Id="rId13" Type="http://schemas.openxmlformats.org/officeDocument/2006/relationships/customXml" Target="../customXml/item4.xml"/><Relationship Id="rId12" Type="http://schemas.openxmlformats.org/officeDocument/2006/relationships/customXml" Target="../customXml/item3.xml"/><Relationship Id="rId11" Type="http://schemas.openxmlformats.org/officeDocument/2006/relationships/customXml" Target="../customXml/item2.xml"/><Relationship Id="rId10" Type="http://schemas.openxmlformats.org/officeDocument/2006/relationships/numbering" Target="numbering.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UNTF">
      <a:dk1>
        <a:sysClr val="windowText" lastClr="000000"/>
      </a:dk1>
      <a:lt1>
        <a:sysClr val="window" lastClr="FFFFFF"/>
      </a:lt1>
      <a:dk2>
        <a:srgbClr val="0E2841"/>
      </a:dk2>
      <a:lt2>
        <a:srgbClr val="E8E8E8"/>
      </a:lt2>
      <a:accent1>
        <a:srgbClr val="156082"/>
      </a:accent1>
      <a:accent2>
        <a:srgbClr val="FCD9F5"/>
      </a:accent2>
      <a:accent3>
        <a:srgbClr val="5300FF"/>
      </a:accent3>
      <a:accent4>
        <a:srgbClr val="99D8F1"/>
      </a:accent4>
      <a:accent5>
        <a:srgbClr val="F6F6F6"/>
      </a:accent5>
      <a:accent6>
        <a:srgbClr val="F15E24"/>
      </a:accent6>
      <a:hlink>
        <a:srgbClr val="467886"/>
      </a:hlink>
      <a:folHlink>
        <a:srgbClr val="96607D"/>
      </a:folHlink>
    </a:clrScheme>
    <a:fontScheme name="Office">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ct:contentTypeSchema xmlns:ct="http://schemas.microsoft.com/office/2006/metadata/contentType" xmlns:ma="http://schemas.microsoft.com/office/2006/metadata/properties/metaAttributes" ct:_="" ma:_="" ma:contentTypeName="Document" ma:contentTypeID="0x0101005BD10EB1173DDC46AE1DD8332BC27F28" ma:contentTypeVersion="24" ma:contentTypeDescription="Create a new document." ma:contentTypeScope="" ma:versionID="810915b5ca2ae4e6c510c4e1e55bf226">
  <xsd:schema xmlns:xsd="http://www.w3.org/2001/XMLSchema" xmlns:xs="http://www.w3.org/2001/XMLSchema" xmlns:p="http://schemas.microsoft.com/office/2006/metadata/properties" xmlns:ns2="82ab596d-6e78-4fb6-8729-00dfcc76dfb6" xmlns:ns3="d83b09a3-3790-42f3-9709-194835517652" xmlns:ns4="ef56fa2c-8799-41f7-8555-46686698e10b" targetNamespace="http://schemas.microsoft.com/office/2006/metadata/properties" ma:root="true" ma:fieldsID="60ae796f50bda1596f8ec4e5bc42da19" ns2:_="" ns3:_="" ns4:_="">
    <xsd:import namespace="82ab596d-6e78-4fb6-8729-00dfcc76dfb6"/>
    <xsd:import namespace="d83b09a3-3790-42f3-9709-194835517652"/>
    <xsd:import namespace="ef56fa2c-8799-41f7-8555-46686698e10b"/>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Password" minOccurs="0"/>
                <xsd:element ref="ns2:MediaServiceDateTaken" minOccurs="0"/>
                <xsd:element ref="ns2:MediaServiceLocation" minOccurs="0"/>
                <xsd:element ref="ns2:Theme" minOccurs="0"/>
                <xsd:element ref="ns2:_Flow_SignoffStatus" minOccurs="0"/>
                <xsd:element ref="ns2:MediaLengthInSeconds" minOccurs="0"/>
                <xsd:element ref="ns2:lcf76f155ced4ddcb4097134ff3c332f" minOccurs="0"/>
                <xsd:element ref="ns4:TaxCatchAll" minOccurs="0"/>
                <xsd:element ref="ns2:MediaServiceSearchProperties" minOccurs="0"/>
                <xsd:element ref="ns2:MediaServiceObjectDetectorVersions" minOccurs="0"/>
                <xsd:element ref="ns2:RCClean_x002d_UP"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2ab596d-6e78-4fb6-8729-00dfcc76dfb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description="User can tag documents "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Password" ma:index="18" nillable="true" ma:displayName="Password" ma:description="Password: 7i&amp;4Rns@" ma:format="Dropdown" ma:internalName="Password">
      <xsd:simpleType>
        <xsd:restriction base="dms:Note">
          <xsd:maxLength value="255"/>
        </xsd:restriction>
      </xsd:simpleType>
    </xsd:element>
    <xsd:element name="MediaServiceDateTaken" ma:index="19" nillable="true" ma:displayName="MediaServiceDateTaken" ma:hidden="true" ma:internalName="MediaServiceDateTaken"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element name="Theme" ma:index="21" nillable="true" ma:displayName="Theme" ma:format="Dropdown" ma:internalName="Theme">
      <xsd:simpleType>
        <xsd:restriction base="dms:Note">
          <xsd:maxLength value="255"/>
        </xsd:restriction>
      </xsd:simpleType>
    </xsd:element>
    <xsd:element name="_Flow_SignoffStatus" ma:index="22" nillable="true" ma:displayName="Sign-off status" ma:internalName="Sign_x002d_off_x0020_status">
      <xsd:simpleType>
        <xsd:restriction base="dms:Text"/>
      </xsd:simpleType>
    </xsd:element>
    <xsd:element name="MediaLengthInSeconds" ma:index="23" nillable="true" ma:displayName="Length (seconds)" ma:internalName="MediaLengthInSeconds" ma:readOnly="true">
      <xsd:simpleType>
        <xsd:restriction base="dms:Unknown"/>
      </xsd:simpleType>
    </xsd:element>
    <xsd:element name="lcf76f155ced4ddcb4097134ff3c332f" ma:index="25" nillable="true" ma:taxonomy="true" ma:internalName="lcf76f155ced4ddcb4097134ff3c332f" ma:taxonomyFieldName="MediaServiceImageTags" ma:displayName="Image Tags" ma:readOnly="false" ma:fieldId="{5cf76f15-5ced-4ddc-b409-7134ff3c332f}" ma:taxonomyMulti="true" ma:sspId="3c250d15-9240-48a2-bed8-252fb13a1443" ma:termSetId="09814cd3-568e-fe90-9814-8d621ff8fb84" ma:anchorId="fba54fb3-c3e1-fe81-a776-ca4b69148c4d" ma:open="true" ma:isKeyword="false">
      <xsd:complexType>
        <xsd:sequence>
          <xsd:element ref="pc:Terms" minOccurs="0" maxOccurs="1"/>
        </xsd:sequence>
      </xsd:complexType>
    </xsd:element>
    <xsd:element name="MediaServiceSearchProperties" ma:index="27" nillable="true" ma:displayName="MediaServiceSearchProperties" ma:hidden="true" ma:internalName="MediaServiceSearchProperties" ma:readOnly="true">
      <xsd:simpleType>
        <xsd:restriction base="dms:Note"/>
      </xsd:simpleType>
    </xsd:element>
    <xsd:element name="MediaServiceObjectDetectorVersions" ma:index="28" nillable="true" ma:displayName="MediaServiceObjectDetectorVersions" ma:description="" ma:hidden="true" ma:indexed="true" ma:internalName="MediaServiceObjectDetectorVersions" ma:readOnly="true">
      <xsd:simpleType>
        <xsd:restriction base="dms:Text"/>
      </xsd:simpleType>
    </xsd:element>
    <xsd:element name="RCClean_x002d_UP" ma:index="29" nillable="true" ma:displayName="RC Clean-UP" ma:default="0" ma:format="Dropdown" ma:internalName="RCClean_x002d_UP">
      <xsd:simpleType>
        <xsd:restriction base="dms:Boolean"/>
      </xsd:simpleType>
    </xsd:element>
    <xsd:element name="MediaServiceBillingMetadata" ma:index="30"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83b09a3-3790-42f3-9709-194835517652"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f56fa2c-8799-41f7-8555-46686698e10b" elementFormDefault="qualified">
    <xsd:import namespace="http://schemas.microsoft.com/office/2006/documentManagement/types"/>
    <xsd:import namespace="http://schemas.microsoft.com/office/infopath/2007/PartnerControls"/>
    <xsd:element name="TaxCatchAll" ma:index="26" nillable="true" ma:displayName="Taxonomy Catch All Column" ma:hidden="true" ma:list="{d55b5517-fe3f-4849-b2f1-374d692729b1}" ma:internalName="TaxCatchAll" ma:showField="CatchAllData" ma:web="ef56fa2c-8799-41f7-8555-46686698e10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p:properties xmlns:p="http://schemas.microsoft.com/office/2006/metadata/properties" xmlns:xsi="http://www.w3.org/2001/XMLSchema-instance" xmlns:pc="http://schemas.microsoft.com/office/infopath/2007/PartnerControls">
  <documentManagement>
    <Password xmlns="82ab596d-6e78-4fb6-8729-00dfcc76dfb6" xsi:nil="true"/>
    <lcf76f155ced4ddcb4097134ff3c332f xmlns="82ab596d-6e78-4fb6-8729-00dfcc76dfb6">
      <Terms xmlns="http://schemas.microsoft.com/office/infopath/2007/PartnerControls"/>
    </lcf76f155ced4ddcb4097134ff3c332f>
    <_Flow_SignoffStatus xmlns="82ab596d-6e78-4fb6-8729-00dfcc76dfb6" xsi:nil="true"/>
    <TaxCatchAll xmlns="ef56fa2c-8799-41f7-8555-46686698e10b" xsi:nil="true"/>
    <Theme xmlns="82ab596d-6e78-4fb6-8729-00dfcc76dfb6" xsi:nil="true"/>
    <RCClean_x002d_UP xmlns="82ab596d-6e78-4fb6-8729-00dfcc76dfb6">false</RCClean_x002d_UP>
  </documentManagement>
</p:properties>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4EFF89FB-19C7-47AA-A7E2-FA97A2EDEF24}">
  <ds:schemaRefs/>
</ds:datastoreItem>
</file>

<file path=customXml/itemProps3.xml><?xml version="1.0" encoding="utf-8"?>
<ds:datastoreItem xmlns:ds="http://schemas.openxmlformats.org/officeDocument/2006/customXml" ds:itemID="{F357ACAB-36A2-43AA-AE9D-C9C4A88E245F}">
  <ds:schemaRefs/>
</ds:datastoreItem>
</file>

<file path=customXml/itemProps4.xml><?xml version="1.0" encoding="utf-8"?>
<ds:datastoreItem xmlns:ds="http://schemas.openxmlformats.org/officeDocument/2006/customXml" ds:itemID="{EBD805CB-766D-41C4-AA12-21C0CC9BA9CA}">
  <ds:schemaRefs/>
</ds:datastoreItem>
</file>

<file path=customXml/itemProps5.xml><?xml version="1.0" encoding="utf-8"?>
<ds:datastoreItem xmlns:ds="http://schemas.openxmlformats.org/officeDocument/2006/customXml" ds:itemID="{B94559E8-C46B-4821-9E19-239B2193F4C2}">
  <ds:schemaRefs/>
</ds:datastoreItem>
</file>

<file path=docProps/app.xml><?xml version="1.0" encoding="utf-8"?>
<Properties xmlns="http://schemas.openxmlformats.org/officeDocument/2006/extended-properties" xmlns:vt="http://schemas.openxmlformats.org/officeDocument/2006/docPropsVTypes">
  <Template>Normal</Template>
  <Pages>25</Pages>
  <Words>7163</Words>
  <Characters>44707</Characters>
  <Lines>399</Lines>
  <Paragraphs>112</Paragraphs>
  <TotalTime>3340</TotalTime>
  <ScaleCrop>false</ScaleCrop>
  <LinksUpToDate>false</LinksUpToDate>
  <CharactersWithSpaces>51677</CharactersWithSpaces>
  <Application>WPS Office_12.1.0.28032_F1E327BC-269C-435d-A152-05C5408002CA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2026-08-13T13:51:00Z</dcterms:created>
  <dc:creator>Katarina Tomašević</dc:creator>
  <cp:lastModifiedBy>Vasic Slavica</cp:lastModifiedBy>
  <dcterms:modified xsi:type="dcterms:W3CDTF">2026-08-19T05:55:36Z</dcterms:modified>
  <cp:revision>29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0x0101005BD10EB1173DDC46AE1DD8332BC27F28</vt:lpwstr>
  </property>
  <property fmtid="{D5CDD505-2E9C-101B-9397-08002B2CF9AE}" pid="3" name="MediaServiceImageTags">
    <vt:lpwstr/>
  </property>
  <property fmtid="{D5CDD505-2E9C-101B-9397-08002B2CF9AE}" pid="4" name="KSOProductBuildVer">
    <vt:lpwstr>1033-12.1.0.28032</vt:lpwstr>
  </property>
  <property fmtid="{D5CDD505-2E9C-101B-9397-08002B2CF9AE}" pid="5" name="ICV">
    <vt:lpwstr>CF06BC9F45954EAABFACD83111998DD5_13</vt:lpwstr>
  </property>
</Properties>
</file>